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80" w:before="0" w:after="0"/>
        <w:ind w:left="0" w:right="0" w:hanging="0"/>
        <w:jc w:val="left"/>
        <w:rPr/>
      </w:pPr>
      <w:hyperlink w:anchor="TOC">
        <w:bookmarkStart w:id="0" w:name="tm2627553-1_s3asr.htm"/>
        <w:bookmarkStart w:id="1" w:name="kstm26275531_s3asr"/>
        <w:bookmarkEnd w:id="0"/>
        <w:bookmarkEnd w:id="1"/>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00" w:before="717" w:after="437"/>
        <w:ind w:left="580" w:right="40" w:hanging="0"/>
        <w:jc w:val="center"/>
        <w:rPr>
          <w:rFonts w:ascii="Times New Roman;Times;serif" w:hAnsi="Times New Roman;Times;serif"/>
          <w:b/>
          <w:i w:val="false"/>
          <w:caps w:val="false"/>
          <w:smallCaps w:val="false"/>
          <w:color w:val="000000"/>
          <w:sz w:val="18"/>
          <w:shd w:fill="FFFFFF" w:val="clear"/>
        </w:rPr>
      </w:pPr>
      <w:r>
        <w:rPr>
          <w:rFonts w:ascii="Times New Roman;Times;serif" w:hAnsi="Times New Roman;Times;serif"/>
          <w:b/>
          <w:i w:val="false"/>
          <w:caps w:val="false"/>
          <w:smallCaps w:val="false"/>
          <w:color w:val="000000"/>
          <w:spacing w:val="-4"/>
          <w:sz w:val="18"/>
          <w:shd w:fill="FFFFFF" w:val="clear"/>
        </w:rPr>
        <w:t>As filed with the Securities and Exchange Commission on October 23, 2026</w:t>
      </w:r>
      <w:r>
        <w:rPr>
          <w:rFonts w:ascii="Times New Roman;Times;serif" w:hAnsi="Times New Roman;Times;serif"/>
          <w:b/>
          <w:i w:val="false"/>
          <w:caps w:val="false"/>
          <w:smallCaps w:val="false"/>
          <w:color w:val="000000"/>
          <w:spacing w:val="4"/>
          <w:sz w:val="18"/>
          <w:shd w:fill="FFFFFF" w:val="clear"/>
        </w:rPr>
        <w:t xml:space="preserve"> </w:t>
      </w:r>
    </w:p>
    <w:p>
      <w:pPr>
        <w:pStyle w:val="TextBody"/>
        <w:bidi w:val="0"/>
        <w:spacing w:lineRule="atLeast" w:line="200" w:before="20" w:after="283"/>
        <w:jc w:val="right"/>
        <w:rPr>
          <w:rFonts w:ascii="Times New Roman;Times;serif" w:hAnsi="Times New Roman;Times;serif"/>
          <w:b/>
          <w:i w:val="false"/>
          <w:caps w:val="false"/>
          <w:smallCaps w:val="false"/>
          <w:color w:val="000000"/>
          <w:sz w:val="19"/>
          <w:shd w:fill="FFFFFF" w:val="clear"/>
        </w:rPr>
      </w:pPr>
      <w:r>
        <w:rPr>
          <w:rFonts w:ascii="Times New Roman;Times;serif" w:hAnsi="Times New Roman;Times;serif"/>
          <w:b/>
          <w:i w:val="false"/>
          <w:caps w:val="false"/>
          <w:smallCaps w:val="false"/>
          <w:color w:val="000000"/>
          <w:spacing w:val="-4"/>
          <w:sz w:val="19"/>
          <w:shd w:fill="FFFFFF" w:val="clear"/>
        </w:rPr>
        <w:t>Registration No. 333-      </w:t>
      </w:r>
      <w:r>
        <w:rPr>
          <w:rFonts w:ascii="Times New Roman;Times;serif" w:hAnsi="Times New Roman;Times;serif"/>
          <w:b/>
          <w:i w:val="false"/>
          <w:caps w:val="false"/>
          <w:smallCaps w:val="false"/>
          <w:color w:val="000000"/>
          <w:sz w:val="19"/>
          <w:shd w:fill="FFFFFF" w:val="clear"/>
        </w:rPr>
        <w:t>​</w:t>
      </w:r>
    </w:p>
    <w:p>
      <w:pPr>
        <w:pStyle w:val="TextBody"/>
        <w:bidi w:val="0"/>
        <w:spacing w:before="22" w:after="283"/>
        <w:ind w:left="580" w:right="40" w:hanging="0"/>
        <w:jc w:val="left"/>
        <w:rPr>
          <w:caps w:val="false"/>
          <w:smallCaps w:val="false"/>
          <w:color w:val="000000"/>
          <w:bdr w:val="single" w:sz="16" w:space="1" w:color="000000"/>
          <w:shd w:fill="FFFFFF" w:val="clear"/>
        </w:rPr>
      </w:pPr>
      <w:r>
        <w:rPr>
          <w:caps w:val="false"/>
          <w:smallCaps w:val="false"/>
          <w:color w:val="000000"/>
          <w:bdr w:val="single" w:sz="16" w:space="1" w:color="000000"/>
          <w:shd w:fill="FFFFFF" w:val="clear"/>
        </w:rPr>
        <w:t>​</w:t>
      </w:r>
    </w:p>
    <w:p>
      <w:pPr>
        <w:pStyle w:val="TextBody"/>
        <w:bidi w:val="0"/>
        <w:spacing w:before="36" w:after="283"/>
        <w:ind w:left="580"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90" w:before="102"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UNITED STATES</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SECURITIES AND EXCHANGE COMMISSION</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3"/>
          <w:sz w:val="16"/>
          <w:shd w:fill="FFFFFF" w:val="clear"/>
        </w:rPr>
        <w:t>Washington, D.C. 20549</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before="13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300" w:before="142"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FORM S-3</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lineRule="atLeast" w:line="190" w:before="40" w:after="283"/>
        <w:jc w:val="center"/>
        <w:rPr>
          <w:rFonts w:ascii="Times New Roman;Times;serif" w:hAnsi="Times New Roman;Times;serif"/>
          <w:b/>
          <w:i/>
          <w:caps w:val="false"/>
          <w:smallCaps w:val="false"/>
          <w:color w:val="000000"/>
          <w:sz w:val="18"/>
          <w:shd w:fill="FFFFFF" w:val="clear"/>
        </w:rPr>
      </w:pPr>
      <w:r>
        <w:rPr>
          <w:rFonts w:ascii="Times New Roman;Times;serif" w:hAnsi="Times New Roman;Times;serif"/>
          <w:b/>
          <w:i w:val="false"/>
          <w:caps w:val="false"/>
          <w:smallCaps w:val="false"/>
          <w:color w:val="000000"/>
          <w:spacing w:val="-4"/>
          <w:sz w:val="18"/>
          <w:shd w:fill="FFFFFF" w:val="clear"/>
        </w:rPr>
        <w:t>REGISTRATION STATEMENT</w:t>
      </w:r>
      <w:r>
        <w:rPr>
          <w:rFonts w:ascii="Times New Roman;Times;serif" w:hAnsi="Times New Roman;Times;serif"/>
          <w:b/>
          <w:i/>
          <w:caps w:val="false"/>
          <w:smallCaps w:val="false"/>
          <w:color w:val="000000"/>
          <w:sz w:val="18"/>
          <w:shd w:fill="FFFFFF" w:val="clear"/>
        </w:rPr>
        <w:t xml:space="preserve"> </w:t>
        <w:br/>
      </w:r>
      <w:r>
        <w:rPr>
          <w:rFonts w:ascii="Times New Roman;Times;serif" w:hAnsi="Times New Roman;Times;serif"/>
          <w:b/>
          <w:i/>
          <w:caps w:val="false"/>
          <w:smallCaps w:val="false"/>
          <w:color w:val="000000"/>
          <w:spacing w:val="-4"/>
          <w:sz w:val="18"/>
          <w:shd w:fill="FFFFFF" w:val="clear"/>
        </w:rPr>
        <w:t>UNDER</w:t>
      </w:r>
      <w:r>
        <w:rPr>
          <w:rFonts w:ascii="Times New Roman;Times;serif" w:hAnsi="Times New Roman;Times;serif"/>
          <w:b/>
          <w:i/>
          <w:caps w:val="false"/>
          <w:smallCaps w:val="false"/>
          <w:color w:val="000000"/>
          <w:sz w:val="18"/>
          <w:shd w:fill="FFFFFF" w:val="clear"/>
        </w:rPr>
        <w:t xml:space="preserve"> </w:t>
        <w:br/>
      </w:r>
      <w:r>
        <w:rPr>
          <w:rFonts w:ascii="Times New Roman;Times;serif" w:hAnsi="Times New Roman;Times;serif"/>
          <w:b/>
          <w:i/>
          <w:caps w:val="false"/>
          <w:smallCaps w:val="false"/>
          <w:color w:val="000000"/>
          <w:spacing w:val="-4"/>
          <w:sz w:val="18"/>
          <w:shd w:fill="FFFFFF" w:val="clear"/>
        </w:rPr>
        <w:t>THE SECURITIES ACT OF 1933</w:t>
      </w:r>
      <w:r>
        <w:rPr>
          <w:rFonts w:ascii="Times New Roman;Times;serif" w:hAnsi="Times New Roman;Times;serif"/>
          <w:b/>
          <w:i/>
          <w:caps w:val="false"/>
          <w:smallCaps w:val="false"/>
          <w:color w:val="000000"/>
          <w:sz w:val="18"/>
          <w:shd w:fill="FFFFFF" w:val="clear"/>
        </w:rPr>
        <w:t xml:space="preserve"> </w:t>
      </w:r>
    </w:p>
    <w:p>
      <w:pPr>
        <w:pStyle w:val="TextBody"/>
        <w:bidi w:val="0"/>
        <w:spacing w:before="13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300" w:before="124" w:after="283"/>
        <w:jc w:val="center"/>
        <w:rPr>
          <w:rFonts w:ascii="Times New Roman;Times;serif" w:hAnsi="Times New Roman;Times;serif"/>
          <w:b/>
          <w:i w:val="false"/>
          <w:caps w:val="false"/>
          <w:smallCaps w:val="false"/>
          <w:color w:val="000000"/>
          <w:spacing w:val="-6"/>
          <w:sz w:val="28"/>
          <w:shd w:fill="FFFFFF" w:val="clear"/>
        </w:rPr>
      </w:pPr>
      <w:r>
        <w:rPr>
          <w:rFonts w:ascii="Times New Roman;Times;serif" w:hAnsi="Times New Roman;Times;serif"/>
          <w:b/>
          <w:i w:val="false"/>
          <w:caps w:val="false"/>
          <w:smallCaps w:val="false"/>
          <w:color w:val="000000"/>
          <w:spacing w:val="-6"/>
          <w:sz w:val="28"/>
          <w:shd w:fill="FFFFFF" w:val="clear"/>
        </w:rPr>
        <w:t xml:space="preserve">Acuity Inc.* </w:t>
      </w:r>
    </w:p>
    <w:p>
      <w:pPr>
        <w:pStyle w:val="TextBody"/>
        <w:bidi w:val="0"/>
        <w:spacing w:lineRule="atLeast" w:line="170" w:before="0" w:after="283"/>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pacing w:val="3"/>
          <w:sz w:val="16"/>
          <w:shd w:fill="FFFFFF" w:val="clear"/>
        </w:rPr>
        <w:t>* and each of the additional registrants listed on the next page</w:t>
      </w:r>
      <w:r>
        <w:rPr>
          <w:rFonts w:ascii="Times New Roman;Times;serif" w:hAnsi="Times New Roman;Times;serif"/>
          <w:b w:val="false"/>
          <w:i w:val="false"/>
          <w:caps w:val="false"/>
          <w:smallCaps w:val="false"/>
          <w:color w:val="000000"/>
          <w:sz w:val="16"/>
          <w:shd w:fill="FFFFFF" w:val="clear"/>
        </w:rPr>
        <w:t xml:space="preserve"> </w:t>
        <w:br/>
      </w:r>
      <w:r>
        <w:rPr>
          <w:rFonts w:ascii="Times New Roman;Times;serif" w:hAnsi="Times New Roman;Times;serif"/>
          <w:b w:val="false"/>
          <w:i w:val="false"/>
          <w:caps w:val="false"/>
          <w:smallCaps w:val="false"/>
          <w:color w:val="000000"/>
          <w:spacing w:val="3"/>
          <w:sz w:val="16"/>
          <w:shd w:fill="FFFFFF" w:val="clear"/>
        </w:rPr>
        <w:t>(Exact name of Registrant as specified in its charter)</w:t>
      </w:r>
      <w:r>
        <w:rPr>
          <w:rFonts w:ascii="Times New Roman;Times;serif" w:hAnsi="Times New Roman;Times;serif"/>
          <w:b w:val="false"/>
          <w:i w:val="false"/>
          <w:caps w:val="false"/>
          <w:smallCaps w:val="false"/>
          <w:color w:val="000000"/>
          <w:sz w:val="16"/>
          <w:shd w:fill="FFFFFF" w:val="clear"/>
        </w:rPr>
        <w:t xml:space="preserve"> </w:t>
      </w:r>
    </w:p>
    <w:p>
      <w:pPr>
        <w:pStyle w:val="TextBody"/>
        <w:bidi w:val="0"/>
        <w:spacing w:before="128"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tbl>
      <w:tblPr>
        <w:tblW w:w="5934" w:type="dxa"/>
        <w:jc w:val="left"/>
        <w:tblInd w:w="580" w:type="dxa"/>
        <w:tblLayout w:type="fixed"/>
        <w:tblCellMar>
          <w:top w:w="0" w:type="dxa"/>
          <w:left w:w="0" w:type="dxa"/>
          <w:bottom w:w="0" w:type="dxa"/>
          <w:right w:w="0" w:type="dxa"/>
        </w:tblCellMar>
      </w:tblPr>
      <w:tblGrid>
        <w:gridCol w:w="124"/>
        <w:gridCol w:w="3058"/>
        <w:gridCol w:w="109"/>
        <w:gridCol w:w="109"/>
        <w:gridCol w:w="2380"/>
        <w:gridCol w:w="154"/>
      </w:tblGrid>
      <w:tr>
        <w:trPr/>
        <w:tc>
          <w:tcPr>
            <w:tcW w:w="124" w:type="dxa"/>
            <w:tcBorders/>
            <w:vAlign w:val="center"/>
          </w:tcPr>
          <w:p>
            <w:pPr>
              <w:pStyle w:val="TableContents"/>
              <w:bidi w:val="0"/>
              <w:spacing w:before="0" w:after="283"/>
              <w:jc w:val="left"/>
              <w:rPr/>
            </w:pPr>
            <w:r>
              <w:rPr/>
              <w:t>​</w:t>
            </w:r>
          </w:p>
        </w:tc>
        <w:tc>
          <w:tcPr>
            <w:tcW w:w="3058" w:type="dxa"/>
            <w:tcBorders/>
            <w:vAlign w:val="center"/>
          </w:tcPr>
          <w:p>
            <w:pPr>
              <w:pStyle w:val="TableContents"/>
              <w:bidi w:val="0"/>
              <w:spacing w:before="0" w:after="0"/>
              <w:jc w:val="center"/>
              <w:rPr>
                <w:b/>
                <w:sz w:val="19"/>
              </w:rPr>
            </w:pPr>
            <w:r>
              <w:rPr>
                <w:b/>
                <w:spacing w:val="-4"/>
                <w:sz w:val="19"/>
              </w:rPr>
              <w:t>Delaware</w:t>
            </w:r>
            <w:r>
              <w:rPr>
                <w:b/>
                <w:sz w:val="19"/>
              </w:rPr>
              <w:t xml:space="preserve"> </w:t>
            </w:r>
          </w:p>
          <w:p>
            <w:pPr>
              <w:pStyle w:val="TableContents"/>
              <w:bidi w:val="0"/>
              <w:spacing w:lineRule="atLeast" w:line="180" w:before="37" w:after="283"/>
              <w:jc w:val="center"/>
              <w:rPr/>
            </w:pPr>
            <w:r>
              <w:rPr>
                <w:spacing w:val="3"/>
              </w:rPr>
              <w:t>(State or other jurisdiction of</w:t>
            </w:r>
            <w:r>
              <w:rPr/>
              <w:t xml:space="preserve"> </w:t>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b/>
                <w:sz w:val="19"/>
              </w:rPr>
            </w:pPr>
            <w:r>
              <w:rPr>
                <w:b/>
                <w:spacing w:val="-4"/>
                <w:sz w:val="19"/>
              </w:rPr>
              <w:t>58-2632672</w:t>
            </w:r>
            <w:r>
              <w:rPr>
                <w:b/>
                <w:sz w:val="19"/>
              </w:rPr>
              <w:t xml:space="preserve"> </w:t>
            </w:r>
          </w:p>
          <w:p>
            <w:pPr>
              <w:pStyle w:val="TableContents"/>
              <w:bidi w:val="0"/>
              <w:spacing w:lineRule="atLeast" w:line="180" w:before="37" w:after="283"/>
              <w:jc w:val="center"/>
              <w:rPr/>
            </w:pPr>
            <w:r>
              <w:rPr>
                <w:spacing w:val="3"/>
              </w:rPr>
              <w:t>(I.R.S. Employer</w:t>
            </w:r>
            <w:r>
              <w:rPr/>
              <w:t xml:space="preserve"> </w:t>
              <w:br/>
            </w:r>
            <w:r>
              <w:rPr>
                <w:spacing w:val="3"/>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90" w:before="198" w:after="283"/>
        <w:ind w:left="580" w:right="40" w:hanging="0"/>
        <w:jc w:val="center"/>
        <w:rPr>
          <w:rFonts w:ascii="Times New Roman;Times;serif" w:hAnsi="Times New Roman;Times;serif"/>
          <w:b/>
          <w:i w:val="false"/>
          <w:caps w:val="false"/>
          <w:smallCaps w:val="false"/>
          <w:color w:val="000000"/>
          <w:sz w:val="18"/>
          <w:shd w:fill="FFFFFF" w:val="clear"/>
        </w:rPr>
      </w:pPr>
      <w:r>
        <w:rPr>
          <w:rFonts w:ascii="Times New Roman;Times;serif" w:hAnsi="Times New Roman;Times;serif"/>
          <w:b/>
          <w:i w:val="false"/>
          <w:caps w:val="false"/>
          <w:smallCaps w:val="false"/>
          <w:color w:val="000000"/>
          <w:spacing w:val="-4"/>
          <w:sz w:val="18"/>
          <w:shd w:fill="FFFFFF" w:val="clear"/>
        </w:rPr>
        <w:t>1170 Peachtree Street, N.E.</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Suite 1200</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Atlanta, Georgia 30309</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(404) 853-1400</w:t>
      </w:r>
      <w:r>
        <w:rPr>
          <w:rFonts w:ascii="Times New Roman;Times;serif" w:hAnsi="Times New Roman;Times;serif"/>
          <w:b/>
          <w:i w:val="false"/>
          <w:caps w:val="false"/>
          <w:smallCaps w:val="false"/>
          <w:color w:val="000000"/>
          <w:sz w:val="18"/>
          <w:shd w:fill="FFFFFF" w:val="clear"/>
        </w:rPr>
        <w:t xml:space="preserve"> </w:t>
      </w:r>
    </w:p>
    <w:p>
      <w:pPr>
        <w:pStyle w:val="TextBody"/>
        <w:bidi w:val="0"/>
        <w:spacing w:lineRule="atLeast" w:line="180" w:before="18" w:after="283"/>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pacing w:val="3"/>
          <w:sz w:val="16"/>
          <w:shd w:fill="FFFFFF" w:val="clear"/>
        </w:rPr>
        <w:t>(Address, including zip code, and telephone number, including area code, of Registrant’s principal executive offices)</w:t>
      </w:r>
      <w:r>
        <w:rPr>
          <w:rFonts w:ascii="Times New Roman;Times;serif" w:hAnsi="Times New Roman;Times;serif"/>
          <w:b w:val="false"/>
          <w:i w:val="false"/>
          <w:caps w:val="false"/>
          <w:smallCaps w:val="false"/>
          <w:color w:val="000000"/>
          <w:sz w:val="16"/>
          <w:shd w:fill="FFFFFF" w:val="clear"/>
        </w:rPr>
        <w:t xml:space="preserve"> </w:t>
      </w:r>
    </w:p>
    <w:p>
      <w:pPr>
        <w:pStyle w:val="TextBody"/>
        <w:bidi w:val="0"/>
        <w:spacing w:before="9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00" w:before="104" w:after="283"/>
        <w:jc w:val="center"/>
        <w:rPr>
          <w:rFonts w:ascii="Times New Roman;Times;serif" w:hAnsi="Times New Roman;Times;serif"/>
          <w:b/>
          <w:i w:val="false"/>
          <w:caps w:val="false"/>
          <w:smallCaps w:val="false"/>
          <w:color w:val="000000"/>
          <w:sz w:val="19"/>
          <w:shd w:fill="FFFFFF" w:val="clear"/>
        </w:rPr>
      </w:pPr>
      <w:r>
        <w:rPr>
          <w:rFonts w:ascii="Times New Roman;Times;serif" w:hAnsi="Times New Roman;Times;serif"/>
          <w:b/>
          <w:i w:val="false"/>
          <w:caps w:val="false"/>
          <w:smallCaps w:val="false"/>
          <w:color w:val="000000"/>
          <w:spacing w:val="-4"/>
          <w:sz w:val="19"/>
          <w:shd w:fill="FFFFFF" w:val="clear"/>
        </w:rPr>
        <w:t>Barry R. Goldman</w:t>
      </w:r>
      <w:r>
        <w:rPr>
          <w:rFonts w:ascii="Times New Roman;Times;serif" w:hAnsi="Times New Roman;Times;serif"/>
          <w:b/>
          <w:i w:val="false"/>
          <w:caps w:val="false"/>
          <w:smallCaps w:val="false"/>
          <w:color w:val="000000"/>
          <w:sz w:val="19"/>
          <w:shd w:fill="FFFFFF" w:val="clear"/>
        </w:rPr>
        <w:t xml:space="preserve"> </w:t>
        <w:br/>
      </w:r>
      <w:r>
        <w:rPr>
          <w:rFonts w:ascii="Times New Roman;Times;serif" w:hAnsi="Times New Roman;Times;serif"/>
          <w:b/>
          <w:i w:val="false"/>
          <w:caps w:val="false"/>
          <w:smallCaps w:val="false"/>
          <w:color w:val="000000"/>
          <w:spacing w:val="-4"/>
          <w:sz w:val="19"/>
          <w:shd w:fill="FFFFFF" w:val="clear"/>
        </w:rPr>
        <w:t>Senior Vice President and General Counsel</w:t>
      </w:r>
      <w:r>
        <w:rPr>
          <w:rFonts w:ascii="Times New Roman;Times;serif" w:hAnsi="Times New Roman;Times;serif"/>
          <w:b/>
          <w:i w:val="false"/>
          <w:caps w:val="false"/>
          <w:smallCaps w:val="false"/>
          <w:color w:val="000000"/>
          <w:sz w:val="19"/>
          <w:shd w:fill="FFFFFF" w:val="clear"/>
        </w:rPr>
        <w:t xml:space="preserve"> </w:t>
        <w:br/>
      </w:r>
      <w:r>
        <w:rPr>
          <w:rFonts w:ascii="Times New Roman;Times;serif" w:hAnsi="Times New Roman;Times;serif"/>
          <w:b/>
          <w:i w:val="false"/>
          <w:caps w:val="false"/>
          <w:smallCaps w:val="false"/>
          <w:color w:val="000000"/>
          <w:spacing w:val="-4"/>
          <w:sz w:val="19"/>
          <w:shd w:fill="FFFFFF" w:val="clear"/>
        </w:rPr>
        <w:t>Acuity Inc.</w:t>
      </w:r>
      <w:r>
        <w:rPr>
          <w:rFonts w:ascii="Times New Roman;Times;serif" w:hAnsi="Times New Roman;Times;serif"/>
          <w:b/>
          <w:i w:val="false"/>
          <w:caps w:val="false"/>
          <w:smallCaps w:val="false"/>
          <w:color w:val="000000"/>
          <w:sz w:val="19"/>
          <w:shd w:fill="FFFFFF" w:val="clear"/>
        </w:rPr>
        <w:t xml:space="preserve"> </w:t>
        <w:br/>
      </w:r>
      <w:r>
        <w:rPr>
          <w:rFonts w:ascii="Times New Roman;Times;serif" w:hAnsi="Times New Roman;Times;serif"/>
          <w:b/>
          <w:i w:val="false"/>
          <w:caps w:val="false"/>
          <w:smallCaps w:val="false"/>
          <w:color w:val="000000"/>
          <w:spacing w:val="-4"/>
          <w:sz w:val="19"/>
          <w:shd w:fill="FFFFFF" w:val="clear"/>
        </w:rPr>
        <w:t>1170 Peachtree Street, N.E., Suite 1200</w:t>
      </w:r>
      <w:r>
        <w:rPr>
          <w:rFonts w:ascii="Times New Roman;Times;serif" w:hAnsi="Times New Roman;Times;serif"/>
          <w:b/>
          <w:i w:val="false"/>
          <w:caps w:val="false"/>
          <w:smallCaps w:val="false"/>
          <w:color w:val="000000"/>
          <w:sz w:val="19"/>
          <w:shd w:fill="FFFFFF" w:val="clear"/>
        </w:rPr>
        <w:t xml:space="preserve"> </w:t>
        <w:br/>
      </w:r>
      <w:r>
        <w:rPr>
          <w:rFonts w:ascii="Times New Roman;Times;serif" w:hAnsi="Times New Roman;Times;serif"/>
          <w:b/>
          <w:i w:val="false"/>
          <w:caps w:val="false"/>
          <w:smallCaps w:val="false"/>
          <w:color w:val="000000"/>
          <w:spacing w:val="-4"/>
          <w:sz w:val="19"/>
          <w:shd w:fill="FFFFFF" w:val="clear"/>
        </w:rPr>
        <w:t>Atlanta, Georgia 30309</w:t>
      </w:r>
      <w:r>
        <w:rPr>
          <w:rFonts w:ascii="Times New Roman;Times;serif" w:hAnsi="Times New Roman;Times;serif"/>
          <w:b/>
          <w:i w:val="false"/>
          <w:caps w:val="false"/>
          <w:smallCaps w:val="false"/>
          <w:color w:val="000000"/>
          <w:sz w:val="19"/>
          <w:shd w:fill="FFFFFF" w:val="clear"/>
        </w:rPr>
        <w:t xml:space="preserve"> </w:t>
        <w:br/>
      </w:r>
      <w:r>
        <w:rPr>
          <w:rFonts w:ascii="Times New Roman;Times;serif" w:hAnsi="Times New Roman;Times;serif"/>
          <w:b/>
          <w:i w:val="false"/>
          <w:caps w:val="false"/>
          <w:smallCaps w:val="false"/>
          <w:color w:val="000000"/>
          <w:spacing w:val="-4"/>
          <w:sz w:val="19"/>
          <w:shd w:fill="FFFFFF" w:val="clear"/>
        </w:rPr>
        <w:t>(404) 853-1400</w:t>
      </w:r>
      <w:r>
        <w:rPr>
          <w:rFonts w:ascii="Times New Roman;Times;serif" w:hAnsi="Times New Roman;Times;serif"/>
          <w:b/>
          <w:i w:val="false"/>
          <w:caps w:val="false"/>
          <w:smallCaps w:val="false"/>
          <w:color w:val="000000"/>
          <w:sz w:val="19"/>
          <w:shd w:fill="FFFFFF" w:val="clear"/>
        </w:rPr>
        <w:t xml:space="preserve"> </w:t>
      </w:r>
    </w:p>
    <w:p>
      <w:pPr>
        <w:pStyle w:val="TextBody"/>
        <w:bidi w:val="0"/>
        <w:spacing w:lineRule="atLeast" w:line="180" w:before="18" w:after="283"/>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pacing w:val="3"/>
          <w:sz w:val="16"/>
          <w:shd w:fill="FFFFFF" w:val="clear"/>
        </w:rPr>
        <w:t>(Name, address, including zip code, and telephone number, including area code, of agent for service)</w:t>
      </w:r>
      <w:r>
        <w:rPr>
          <w:rFonts w:ascii="Times New Roman;Times;serif" w:hAnsi="Times New Roman;Times;serif"/>
          <w:b w:val="false"/>
          <w:i w:val="false"/>
          <w:caps w:val="false"/>
          <w:smallCaps w:val="false"/>
          <w:color w:val="000000"/>
          <w:sz w:val="16"/>
          <w:shd w:fill="FFFFFF" w:val="clear"/>
        </w:rPr>
        <w:t xml:space="preserve"> </w:t>
      </w:r>
    </w:p>
    <w:p>
      <w:pPr>
        <w:pStyle w:val="TextBody"/>
        <w:bidi w:val="0"/>
        <w:spacing w:before="13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00" w:before="124" w:after="283"/>
        <w:jc w:val="center"/>
        <w:rPr>
          <w:rFonts w:ascii="Times New Roman;Times;serif" w:hAnsi="Times New Roman;Times;serif"/>
          <w:b/>
          <w:i/>
          <w:caps w:val="false"/>
          <w:smallCaps w:val="false"/>
          <w:color w:val="000000"/>
          <w:sz w:val="19"/>
          <w:shd w:fill="FFFFFF" w:val="clear"/>
        </w:rPr>
      </w:pPr>
      <w:r>
        <w:rPr>
          <w:rFonts w:ascii="Times New Roman;Times;serif" w:hAnsi="Times New Roman;Times;serif"/>
          <w:b/>
          <w:i/>
          <w:caps w:val="false"/>
          <w:smallCaps w:val="false"/>
          <w:color w:val="000000"/>
          <w:spacing w:val="-4"/>
          <w:sz w:val="19"/>
          <w:shd w:fill="FFFFFF" w:val="clear"/>
        </w:rPr>
        <w:t>with copies to:</w:t>
      </w:r>
      <w:r>
        <w:rPr>
          <w:rFonts w:ascii="Times New Roman;Times;serif" w:hAnsi="Times New Roman;Times;serif"/>
          <w:b/>
          <w:i/>
          <w:caps w:val="false"/>
          <w:smallCaps w:val="false"/>
          <w:color w:val="000000"/>
          <w:spacing w:val="4"/>
          <w:sz w:val="19"/>
          <w:shd w:fill="FFFFFF" w:val="clear"/>
        </w:rPr>
        <w:t xml:space="preserve"> </w:t>
      </w:r>
    </w:p>
    <w:p>
      <w:pPr>
        <w:pStyle w:val="TextBody"/>
        <w:bidi w:val="0"/>
        <w:spacing w:lineRule="atLeast" w:line="190" w:before="60" w:after="283"/>
        <w:jc w:val="center"/>
        <w:rPr>
          <w:rFonts w:ascii="Times New Roman;Times;serif" w:hAnsi="Times New Roman;Times;serif"/>
          <w:b/>
          <w:i w:val="false"/>
          <w:caps w:val="false"/>
          <w:smallCaps w:val="false"/>
          <w:color w:val="000000"/>
          <w:sz w:val="18"/>
          <w:shd w:fill="FFFFFF" w:val="clear"/>
        </w:rPr>
      </w:pPr>
      <w:r>
        <w:rPr>
          <w:rFonts w:ascii="Times New Roman;Times;serif" w:hAnsi="Times New Roman;Times;serif"/>
          <w:b/>
          <w:i w:val="false"/>
          <w:caps w:val="false"/>
          <w:smallCaps w:val="false"/>
          <w:color w:val="000000"/>
          <w:spacing w:val="-4"/>
          <w:sz w:val="18"/>
          <w:shd w:fill="FFFFFF" w:val="clear"/>
        </w:rPr>
        <w:t>Jason Hille</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Foley &amp; Lardner LLP</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777 E Wisconsin Ave.</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Milwaukee, WI 53202</w:t>
      </w:r>
      <w:r>
        <w:rPr>
          <w:rFonts w:ascii="Times New Roman;Times;serif" w:hAnsi="Times New Roman;Times;serif"/>
          <w:b/>
          <w:i w:val="false"/>
          <w:caps w:val="false"/>
          <w:smallCaps w:val="false"/>
          <w:color w:val="000000"/>
          <w:sz w:val="18"/>
          <w:shd w:fill="FFFFFF" w:val="clear"/>
        </w:rPr>
        <w:t xml:space="preserve"> </w:t>
        <w:br/>
      </w:r>
      <w:r>
        <w:rPr>
          <w:rFonts w:ascii="Times New Roman;Times;serif" w:hAnsi="Times New Roman;Times;serif"/>
          <w:b/>
          <w:i w:val="false"/>
          <w:caps w:val="false"/>
          <w:smallCaps w:val="false"/>
          <w:color w:val="000000"/>
          <w:spacing w:val="-4"/>
          <w:sz w:val="18"/>
          <w:shd w:fill="FFFFFF" w:val="clear"/>
        </w:rPr>
        <w:t xml:space="preserve">(414) 271-2400 </w:t>
      </w:r>
    </w:p>
    <w:p>
      <w:pPr>
        <w:pStyle w:val="TextBody"/>
        <w:bidi w:val="0"/>
        <w:spacing w:before="13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00" w:before="124" w:after="283"/>
        <w:ind w:left="580" w:right="40" w:firstLine="400"/>
        <w:jc w:val="left"/>
        <w:rPr>
          <w:rFonts w:ascii="Times New Roman;Times;serif" w:hAnsi="Times New Roman;Times;serif"/>
          <w:b w:val="false"/>
          <w:i w:val="false"/>
          <w:caps w:val="false"/>
          <w:smallCaps w:val="false"/>
          <w:color w:val="000000"/>
          <w:sz w:val="19"/>
          <w:shd w:fill="FFFFFF" w:val="clear"/>
        </w:rPr>
      </w:pPr>
      <w:r>
        <w:rPr>
          <w:rFonts w:ascii="Times New Roman;Times;serif" w:hAnsi="Times New Roman;Times;serif"/>
          <w:b/>
          <w:i w:val="false"/>
          <w:caps w:val="false"/>
          <w:smallCaps w:val="false"/>
          <w:color w:val="000000"/>
          <w:spacing w:val="-4"/>
          <w:sz w:val="19"/>
          <w:shd w:fill="FFFFFF" w:val="clear"/>
        </w:rPr>
        <w:t>Approximate date of commencement of proposed sale to the public</w:t>
      </w:r>
      <w:r>
        <w:rPr>
          <w:rFonts w:ascii="Times New Roman;Times;serif" w:hAnsi="Times New Roman;Times;serif"/>
          <w:b w:val="false"/>
          <w:i w:val="false"/>
          <w:caps w:val="false"/>
          <w:smallCaps w:val="false"/>
          <w:color w:val="000000"/>
          <w:spacing w:val="4"/>
          <w:sz w:val="19"/>
          <w:shd w:fill="FFFFFF" w:val="clear"/>
        </w:rPr>
        <w:t xml:space="preserve">: From time to time after the effective date of this Registration Statement. </w:t>
      </w:r>
    </w:p>
    <w:p>
      <w:pPr>
        <w:pStyle w:val="TextBody"/>
        <w:bidi w:val="0"/>
        <w:spacing w:lineRule="atLeast" w:line="200" w:before="60" w:after="283"/>
        <w:ind w:left="580" w:right="40" w:firstLine="400"/>
        <w:jc w:val="left"/>
        <w:rPr>
          <w:rFonts w:ascii="Times New Roman;Times;serif" w:hAnsi="Times New Roman;Times;serif"/>
          <w:b w:val="false"/>
          <w:i w:val="false"/>
          <w:caps w:val="false"/>
          <w:smallCaps w:val="false"/>
          <w:color w:val="000000"/>
          <w:spacing w:val="4"/>
          <w:sz w:val="19"/>
          <w:shd w:fill="FFFFFF" w:val="clear"/>
        </w:rPr>
      </w:pPr>
      <w:r>
        <w:rPr>
          <w:rFonts w:ascii="Times New Roman;Times;serif" w:hAnsi="Times New Roman;Times;serif"/>
          <w:b w:val="false"/>
          <w:i w:val="false"/>
          <w:caps w:val="false"/>
          <w:smallCaps w:val="false"/>
          <w:color w:val="000000"/>
          <w:spacing w:val="4"/>
          <w:sz w:val="19"/>
          <w:shd w:fill="FFFFFF" w:val="clear"/>
        </w:rPr>
        <w:t xml:space="preserve">If the only securities being registered on this Form are being offered pursuant to dividend or interest reinvestment plans, please check the following box: ☐ </w:t>
      </w:r>
    </w:p>
    <w:p>
      <w:pPr>
        <w:pStyle w:val="TextBody"/>
        <w:bidi w:val="0"/>
        <w:spacing w:lineRule="atLeast" w:line="200" w:before="60" w:after="283"/>
        <w:ind w:left="580" w:right="40" w:firstLine="400"/>
        <w:jc w:val="left"/>
        <w:rPr>
          <w:rFonts w:ascii="Times New Roman;Times;serif" w:hAnsi="Times New Roman;Times;serif"/>
          <w:b w:val="false"/>
          <w:i w:val="false"/>
          <w:caps w:val="false"/>
          <w:smallCaps w:val="false"/>
          <w:color w:val="000000"/>
          <w:spacing w:val="4"/>
          <w:sz w:val="19"/>
          <w:shd w:fill="FFFFFF" w:val="clear"/>
        </w:rPr>
      </w:pPr>
      <w:r>
        <w:rPr>
          <w:rFonts w:ascii="Times New Roman;Times;serif" w:hAnsi="Times New Roman;Times;serif"/>
          <w:b w:val="false"/>
          <w:i w:val="false"/>
          <w:caps w:val="false"/>
          <w:smallCaps w:val="false"/>
          <w:color w:val="000000"/>
          <w:spacing w:val="4"/>
          <w:sz w:val="19"/>
          <w:shd w:fill="FFFFFF" w:val="clear"/>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lineRule="atLeast" w:line="200" w:before="60" w:after="283"/>
        <w:ind w:left="580" w:right="40" w:firstLine="400"/>
        <w:jc w:val="left"/>
        <w:rPr>
          <w:rFonts w:ascii="Times New Roman;Times;serif" w:hAnsi="Times New Roman;Times;serif"/>
          <w:b w:val="false"/>
          <w:i w:val="false"/>
          <w:caps w:val="false"/>
          <w:smallCaps w:val="false"/>
          <w:color w:val="000000"/>
          <w:spacing w:val="4"/>
          <w:sz w:val="19"/>
          <w:shd w:fill="FFFFFF" w:val="clear"/>
        </w:rPr>
      </w:pPr>
      <w:r>
        <w:rPr>
          <w:rFonts w:ascii="Times New Roman;Times;serif" w:hAnsi="Times New Roman;Times;serif"/>
          <w:b w:val="false"/>
          <w:i w:val="false"/>
          <w:caps w:val="false"/>
          <w:smallCaps w:val="false"/>
          <w:color w:val="000000"/>
          <w:spacing w:val="4"/>
          <w:sz w:val="19"/>
          <w:shd w:fill="FFFFFF" w:val="clear"/>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200" w:before="60" w:after="283"/>
        <w:ind w:left="580" w:right="40" w:firstLine="400"/>
        <w:jc w:val="left"/>
        <w:rPr>
          <w:rFonts w:ascii="Times New Roman;Times;serif" w:hAnsi="Times New Roman;Times;serif"/>
          <w:b w:val="false"/>
          <w:i w:val="false"/>
          <w:caps w:val="false"/>
          <w:smallCaps w:val="false"/>
          <w:color w:val="000000"/>
          <w:spacing w:val="4"/>
          <w:sz w:val="19"/>
          <w:shd w:fill="FFFFFF" w:val="clear"/>
        </w:rPr>
      </w:pPr>
      <w:r>
        <w:rPr>
          <w:rFonts w:ascii="Times New Roman;Times;serif" w:hAnsi="Times New Roman;Times;serif"/>
          <w:b w:val="false"/>
          <w:i w:val="false"/>
          <w:caps w:val="false"/>
          <w:smallCaps w:val="false"/>
          <w:color w:val="000000"/>
          <w:spacing w:val="4"/>
          <w:sz w:val="19"/>
          <w:shd w:fill="FFFFFF" w:val="clear"/>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200" w:before="60" w:after="283"/>
        <w:ind w:left="580" w:right="40" w:firstLine="400"/>
        <w:jc w:val="left"/>
        <w:rPr>
          <w:rFonts w:ascii="Times New Roman;Times;serif" w:hAnsi="Times New Roman;Times;serif"/>
          <w:b w:val="false"/>
          <w:i w:val="false"/>
          <w:caps w:val="false"/>
          <w:smallCaps w:val="false"/>
          <w:color w:val="000000"/>
          <w:spacing w:val="4"/>
          <w:sz w:val="19"/>
          <w:shd w:fill="FFFFFF" w:val="clear"/>
        </w:rPr>
      </w:pPr>
      <w:r>
        <w:rPr>
          <w:rFonts w:ascii="Times New Roman;Times;serif" w:hAnsi="Times New Roman;Times;serif"/>
          <w:b w:val="false"/>
          <w:i w:val="false"/>
          <w:caps w:val="false"/>
          <w:smallCaps w:val="false"/>
          <w:color w:val="000000"/>
          <w:spacing w:val="4"/>
          <w:sz w:val="19"/>
          <w:shd w:fill="FFFFFF" w:val="clear"/>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lineRule="atLeast" w:line="200" w:before="60" w:after="283"/>
        <w:ind w:left="580" w:right="40" w:firstLine="400"/>
        <w:jc w:val="left"/>
        <w:rPr>
          <w:rFonts w:ascii="Times New Roman;Times;serif" w:hAnsi="Times New Roman;Times;serif"/>
          <w:b w:val="false"/>
          <w:i w:val="false"/>
          <w:caps w:val="false"/>
          <w:smallCaps w:val="false"/>
          <w:color w:val="000000"/>
          <w:spacing w:val="4"/>
          <w:sz w:val="19"/>
          <w:shd w:fill="FFFFFF" w:val="clear"/>
        </w:rPr>
      </w:pPr>
      <w:r>
        <w:rPr>
          <w:rFonts w:ascii="Times New Roman;Times;serif" w:hAnsi="Times New Roman;Times;serif"/>
          <w:b w:val="false"/>
          <w:i w:val="false"/>
          <w:caps w:val="false"/>
          <w:smallCaps w:val="false"/>
          <w:color w:val="000000"/>
          <w:spacing w:val="4"/>
          <w:sz w:val="19"/>
          <w:shd w:fill="FFFFFF" w:val="clear"/>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lineRule="atLeast" w:line="200" w:before="60" w:after="283"/>
        <w:ind w:left="580" w:right="40" w:firstLine="400"/>
        <w:jc w:val="left"/>
        <w:rPr>
          <w:rFonts w:ascii="Times New Roman;Times;serif" w:hAnsi="Times New Roman;Times;serif"/>
          <w:b w:val="false"/>
          <w:i w:val="false"/>
          <w:caps w:val="false"/>
          <w:smallCaps w:val="false"/>
          <w:color w:val="000000"/>
          <w:spacing w:val="4"/>
          <w:sz w:val="19"/>
          <w:shd w:fill="FFFFFF" w:val="clear"/>
        </w:rPr>
      </w:pPr>
      <w:r>
        <w:rPr>
          <w:rFonts w:ascii="Times New Roman;Times;serif" w:hAnsi="Times New Roman;Times;serif"/>
          <w:b w:val="false"/>
          <w:i w:val="false"/>
          <w:caps w:val="false"/>
          <w:smallCaps w:val="false"/>
          <w:color w:val="000000"/>
          <w:spacing w:val="4"/>
          <w:sz w:val="19"/>
          <w:shd w:fill="FFFFFF" w:val="clear"/>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948" w:type="dxa"/>
        <w:jc w:val="left"/>
        <w:tblInd w:w="580" w:type="dxa"/>
        <w:tblLayout w:type="fixed"/>
        <w:tblCellMar>
          <w:top w:w="0" w:type="dxa"/>
          <w:left w:w="0" w:type="dxa"/>
          <w:bottom w:w="0" w:type="dxa"/>
          <w:right w:w="0" w:type="dxa"/>
        </w:tblCellMar>
      </w:tblPr>
      <w:tblGrid>
        <w:gridCol w:w="124"/>
        <w:gridCol w:w="2536"/>
        <w:gridCol w:w="109"/>
        <w:gridCol w:w="109"/>
        <w:gridCol w:w="2916"/>
        <w:gridCol w:w="154"/>
      </w:tblGrid>
      <w:tr>
        <w:trPr/>
        <w:tc>
          <w:tcPr>
            <w:tcW w:w="124" w:type="dxa"/>
            <w:tcBorders/>
            <w:vAlign w:val="center"/>
          </w:tcPr>
          <w:p>
            <w:pPr>
              <w:pStyle w:val="TableContents"/>
              <w:bidi w:val="0"/>
              <w:spacing w:before="0" w:after="283"/>
              <w:jc w:val="left"/>
              <w:rPr/>
            </w:pPr>
            <w:r>
              <w:rPr/>
              <w:t>​</w:t>
            </w:r>
          </w:p>
        </w:tc>
        <w:tc>
          <w:tcPr>
            <w:tcW w:w="2536" w:type="dxa"/>
            <w:tcBorders/>
            <w:vAlign w:val="center"/>
          </w:tcPr>
          <w:p>
            <w:pPr>
              <w:pStyle w:val="TableContents"/>
              <w:bidi w:val="0"/>
              <w:spacing w:lineRule="atLeast" w:line="186" w:before="0" w:after="0"/>
              <w:ind w:left="2160" w:right="0" w:hanging="0"/>
              <w:jc w:val="left"/>
              <w:rPr>
                <w:spacing w:val="4"/>
              </w:rPr>
            </w:pPr>
            <w:r>
              <w:rPr>
                <w:spacing w:val="4"/>
              </w:rPr>
              <w:t xml:space="preserve">☒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1371600" cy="525780"/>
                      <wp:effectExtent l="0" t="0" r="0" b="0"/>
                      <wp:wrapSquare wrapText="right"/>
                      <wp:docPr id="1" name="Frame1"/>
                      <a:graphic xmlns:a="http://schemas.openxmlformats.org/drawingml/2006/main">
                        <a:graphicData uri="http://schemas.microsoft.com/office/word/2010/wordprocessingShape">
                          <wps:wsp>
                            <wps:cNvSpPr txBox="1"/>
                            <wps:spPr>
                              <a:xfrm>
                                <a:off x="0" y="0"/>
                                <a:ext cx="1371600" cy="525780"/>
                              </a:xfrm>
                              <a:prstGeom prst="rect"/>
                              <a:solidFill>
                                <a:srgbClr val="FFFFFF"/>
                              </a:solidFill>
                            </wps:spPr>
                            <wps:txbx>
                              <w:txbxContent>
                                <w:p>
                                  <w:pPr>
                                    <w:pStyle w:val="TextBody"/>
                                    <w:bidi w:val="0"/>
                                    <w:spacing w:lineRule="atLeast" w:line="186" w:before="0" w:after="283"/>
                                    <w:jc w:val="left"/>
                                    <w:rPr/>
                                  </w:pPr>
                                  <w:r>
                                    <w:rPr>
                                      <w:spacing w:val="4"/>
                                    </w:rPr>
                                    <w:t>Large accelerated filer</w:t>
                                  </w:r>
                                  <w:r>
                                    <w:rPr/>
                                    <w:t xml:space="preserve"> </w:t>
                                    <w:br/>
                                  </w:r>
                                </w:p>
                              </w:txbxContent>
                            </wps:txbx>
                            <wps:bodyPr anchor="t" lIns="0" tIns="0" rIns="0" bIns="0">
                              <a:noAutofit/>
                            </wps:bodyPr>
                          </wps:wsp>
                        </a:graphicData>
                      </a:graphic>
                    </wp:anchor>
                  </w:drawing>
                </mc:Choice>
                <mc:Fallback>
                  <w:pict>
                    <v:rect style="position:absolute;rotation:-0;width:10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6" w:before="0" w:after="283"/>
                              <w:jc w:val="left"/>
                              <w:rPr/>
                            </w:pPr>
                            <w:r>
                              <w:rPr>
                                <w:spacing w:val="4"/>
                              </w:rPr>
                              <w:t>Large 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16" w:type="dxa"/>
            <w:tcBorders/>
            <w:vAlign w:val="center"/>
          </w:tcPr>
          <w:p>
            <w:pPr>
              <w:pStyle w:val="TableContents"/>
              <w:bidi w:val="0"/>
              <w:spacing w:lineRule="atLeast" w:line="186" w:before="0" w:after="0"/>
              <w:ind w:left="2540" w:right="0" w:hanging="0"/>
              <w:jc w:val="left"/>
              <w:rPr>
                <w:spacing w:val="4"/>
              </w:rPr>
            </w:pPr>
            <w:r>
              <w:rPr>
                <w:spacing w:val="4"/>
              </w:rPr>
              <w:t xml:space="preserve">☐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16129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1612900" cy="350520"/>
                              </a:xfrm>
                              <a:prstGeom prst="rect"/>
                              <a:solidFill>
                                <a:srgbClr val="FFFFFF"/>
                              </a:solidFill>
                            </wps:spPr>
                            <wps:txbx>
                              <w:txbxContent>
                                <w:p>
                                  <w:pPr>
                                    <w:pStyle w:val="TextBody"/>
                                    <w:bidi w:val="0"/>
                                    <w:spacing w:lineRule="atLeast" w:line="186" w:before="0" w:after="283"/>
                                    <w:jc w:val="left"/>
                                    <w:rPr/>
                                  </w:pPr>
                                  <w:r>
                                    <w:rPr>
                                      <w:spacing w:val="4"/>
                                    </w:rPr>
                                    <w:t>Accelerated filer</w:t>
                                  </w:r>
                                  <w:r>
                                    <w:rPr/>
                                    <w:t xml:space="preserve"> </w:t>
                                    <w:br/>
                                  </w:r>
                                </w:p>
                              </w:txbxContent>
                            </wps:txbx>
                            <wps:bodyPr anchor="t" lIns="0" tIns="0" rIns="0" bIns="0">
                              <a:noAutofit/>
                            </wps:bodyPr>
                          </wps:wsp>
                        </a:graphicData>
                      </a:graphic>
                    </wp:anchor>
                  </w:drawing>
                </mc:Choice>
                <mc:Fallback>
                  <w:pict>
                    <v:rect style="position:absolute;rotation:-0;width:127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6" w:before="0" w:after="283"/>
                              <w:jc w:val="left"/>
                              <w:rPr/>
                            </w:pPr>
                            <w:r>
                              <w:rPr>
                                <w:spacing w:val="4"/>
                              </w:rPr>
                              <w:t>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536" w:type="dxa"/>
            <w:tcBorders/>
            <w:vAlign w:val="center"/>
          </w:tcPr>
          <w:p>
            <w:pPr>
              <w:pStyle w:val="TableContents"/>
              <w:bidi w:val="0"/>
              <w:spacing w:lineRule="atLeast" w:line="186" w:before="0" w:after="0"/>
              <w:ind w:left="2160" w:right="0" w:hanging="0"/>
              <w:jc w:val="left"/>
              <w:rPr>
                <w:spacing w:val="4"/>
              </w:rPr>
            </w:pPr>
            <w:r>
              <w:rPr>
                <w:spacing w:val="4"/>
              </w:rPr>
              <w:t xml:space="preserve">☐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1371600" cy="525780"/>
                      <wp:effectExtent l="0" t="0" r="0" b="0"/>
                      <wp:wrapSquare wrapText="right"/>
                      <wp:docPr id="3" name="Frame3"/>
                      <a:graphic xmlns:a="http://schemas.openxmlformats.org/drawingml/2006/main">
                        <a:graphicData uri="http://schemas.microsoft.com/office/word/2010/wordprocessingShape">
                          <wps:wsp>
                            <wps:cNvSpPr txBox="1"/>
                            <wps:spPr>
                              <a:xfrm>
                                <a:off x="0" y="0"/>
                                <a:ext cx="1371600" cy="525780"/>
                              </a:xfrm>
                              <a:prstGeom prst="rect"/>
                              <a:solidFill>
                                <a:srgbClr val="FFFFFF"/>
                              </a:solidFill>
                            </wps:spPr>
                            <wps:txbx>
                              <w:txbxContent>
                                <w:p>
                                  <w:pPr>
                                    <w:pStyle w:val="TextBody"/>
                                    <w:bidi w:val="0"/>
                                    <w:spacing w:lineRule="atLeast" w:line="186" w:before="0" w:after="283"/>
                                    <w:jc w:val="left"/>
                                    <w:rPr/>
                                  </w:pPr>
                                  <w:r>
                                    <w:rPr>
                                      <w:spacing w:val="4"/>
                                    </w:rPr>
                                    <w:t>Non-accelerated filer</w:t>
                                  </w:r>
                                  <w:r>
                                    <w:rPr/>
                                    <w:t xml:space="preserve"> </w:t>
                                    <w:br/>
                                  </w:r>
                                </w:p>
                              </w:txbxContent>
                            </wps:txbx>
                            <wps:bodyPr anchor="t" lIns="0" tIns="0" rIns="0" bIns="0">
                              <a:noAutofit/>
                            </wps:bodyPr>
                          </wps:wsp>
                        </a:graphicData>
                      </a:graphic>
                    </wp:anchor>
                  </w:drawing>
                </mc:Choice>
                <mc:Fallback>
                  <w:pict>
                    <v:rect style="position:absolute;rotation:-0;width:10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6" w:before="0" w:after="283"/>
                              <w:jc w:val="left"/>
                              <w:rPr/>
                            </w:pPr>
                            <w:r>
                              <w:rPr>
                                <w:spacing w:val="4"/>
                              </w:rPr>
                              <w:t>Non-accelerated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16" w:type="dxa"/>
            <w:tcBorders/>
            <w:vAlign w:val="center"/>
          </w:tcPr>
          <w:p>
            <w:pPr>
              <w:pStyle w:val="TableContents"/>
              <w:bidi w:val="0"/>
              <w:spacing w:lineRule="atLeast" w:line="186" w:before="0" w:after="0"/>
              <w:ind w:left="2540" w:right="0" w:hanging="0"/>
              <w:jc w:val="left"/>
              <w:rPr>
                <w:spacing w:val="4"/>
              </w:rPr>
            </w:pPr>
            <w:r>
              <w:rPr>
                <w:spacing w:val="4"/>
              </w:rPr>
              <w:t xml:space="preserve">☐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1612900" cy="525780"/>
                      <wp:effectExtent l="0" t="0" r="0" b="0"/>
                      <wp:wrapSquare wrapText="right"/>
                      <wp:docPr id="4" name="Frame4"/>
                      <a:graphic xmlns:a="http://schemas.openxmlformats.org/drawingml/2006/main">
                        <a:graphicData uri="http://schemas.microsoft.com/office/word/2010/wordprocessingShape">
                          <wps:wsp>
                            <wps:cNvSpPr txBox="1"/>
                            <wps:spPr>
                              <a:xfrm>
                                <a:off x="0" y="0"/>
                                <a:ext cx="1612900" cy="525780"/>
                              </a:xfrm>
                              <a:prstGeom prst="rect"/>
                              <a:solidFill>
                                <a:srgbClr val="FFFFFF"/>
                              </a:solidFill>
                            </wps:spPr>
                            <wps:txbx>
                              <w:txbxContent>
                                <w:p>
                                  <w:pPr>
                                    <w:pStyle w:val="TextBody"/>
                                    <w:bidi w:val="0"/>
                                    <w:spacing w:lineRule="atLeast" w:line="186" w:before="0" w:after="283"/>
                                    <w:jc w:val="left"/>
                                    <w:rPr/>
                                  </w:pPr>
                                  <w:r>
                                    <w:rPr>
                                      <w:spacing w:val="4"/>
                                    </w:rPr>
                                    <w:t>Smaller reporting company</w:t>
                                  </w:r>
                                  <w:r>
                                    <w:rPr/>
                                    <w:t xml:space="preserve"> </w:t>
                                    <w:br/>
                                  </w:r>
                                </w:p>
                              </w:txbxContent>
                            </wps:txbx>
                            <wps:bodyPr anchor="t" lIns="0" tIns="0" rIns="0" bIns="0">
                              <a:noAutofit/>
                            </wps:bodyPr>
                          </wps:wsp>
                        </a:graphicData>
                      </a:graphic>
                    </wp:anchor>
                  </w:drawing>
                </mc:Choice>
                <mc:Fallback>
                  <w:pict>
                    <v:rect style="position:absolute;rotation:-0;width:127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6" w:before="0" w:after="283"/>
                              <w:jc w:val="left"/>
                              <w:rPr/>
                            </w:pPr>
                            <w:r>
                              <w:rPr>
                                <w:spacing w:val="4"/>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5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16" w:type="dxa"/>
            <w:tcBorders/>
            <w:vAlign w:val="center"/>
          </w:tcPr>
          <w:p>
            <w:pPr>
              <w:pStyle w:val="TableContents"/>
              <w:bidi w:val="0"/>
              <w:spacing w:lineRule="atLeast" w:line="186" w:before="0" w:after="0"/>
              <w:ind w:left="2540" w:right="0" w:hanging="0"/>
              <w:jc w:val="left"/>
              <w:rPr/>
            </w:pPr>
            <w:r>
              <w:rPr>
                <w:spacing w:val="4"/>
              </w:rPr>
              <w:t>☐</w:t>
            </w:r>
            <w:r>
              <w:rPr/>
              <w:t xml:space="preserve">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1612900" cy="525780"/>
                      <wp:effectExtent l="0" t="0" r="0" b="0"/>
                      <wp:wrapSquare wrapText="right"/>
                      <wp:docPr id="5" name="Frame5"/>
                      <a:graphic xmlns:a="http://schemas.openxmlformats.org/drawingml/2006/main">
                        <a:graphicData uri="http://schemas.microsoft.com/office/word/2010/wordprocessingShape">
                          <wps:wsp>
                            <wps:cNvSpPr txBox="1"/>
                            <wps:spPr>
                              <a:xfrm>
                                <a:off x="0" y="0"/>
                                <a:ext cx="1612900" cy="525780"/>
                              </a:xfrm>
                              <a:prstGeom prst="rect"/>
                              <a:solidFill>
                                <a:srgbClr val="FFFFFF"/>
                              </a:solidFill>
                            </wps:spPr>
                            <wps:txbx>
                              <w:txbxContent>
                                <w:p>
                                  <w:pPr>
                                    <w:pStyle w:val="TextBody"/>
                                    <w:bidi w:val="0"/>
                                    <w:spacing w:lineRule="atLeast" w:line="186" w:before="0" w:after="283"/>
                                    <w:jc w:val="left"/>
                                    <w:rPr/>
                                  </w:pPr>
                                  <w:r>
                                    <w:rPr>
                                      <w:spacing w:val="4"/>
                                    </w:rPr>
                                    <w:t>Emerging growth company</w:t>
                                  </w:r>
                                  <w:r>
                                    <w:rPr/>
                                    <w:t xml:space="preserve"> </w:t>
                                    <w:br/>
                                  </w:r>
                                </w:p>
                              </w:txbxContent>
                            </wps:txbx>
                            <wps:bodyPr anchor="t" lIns="0" tIns="0" rIns="0" bIns="0">
                              <a:noAutofit/>
                            </wps:bodyPr>
                          </wps:wsp>
                        </a:graphicData>
                      </a:graphic>
                    </wp:anchor>
                  </w:drawing>
                </mc:Choice>
                <mc:Fallback>
                  <w:pict>
                    <v:rect style="position:absolute;rotation:-0;width:127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6" w:before="0" w:after="283"/>
                              <w:jc w:val="left"/>
                              <w:rPr/>
                            </w:pPr>
                            <w:r>
                              <w:rPr>
                                <w:spacing w:val="4"/>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218" w:after="283"/>
        <w:ind w:left="580" w:right="40" w:firstLine="400"/>
        <w:jc w:val="left"/>
        <w:rPr>
          <w:rFonts w:ascii="Times New Roman;Times;serif" w:hAnsi="Times New Roman;Times;serif"/>
          <w:b w:val="false"/>
          <w:i w:val="false"/>
          <w:caps w:val="false"/>
          <w:smallCaps w:val="false"/>
          <w:color w:val="000000"/>
          <w:spacing w:val="4"/>
          <w:sz w:val="19"/>
          <w:shd w:fill="FFFFFF" w:val="clear"/>
        </w:rPr>
      </w:pPr>
      <w:r>
        <w:rPr>
          <w:rFonts w:ascii="Times New Roman;Times;serif" w:hAnsi="Times New Roman;Times;serif"/>
          <w:b w:val="false"/>
          <w:i w:val="false"/>
          <w:caps w:val="false"/>
          <w:smallCaps w:val="false"/>
          <w:color w:val="000000"/>
          <w:spacing w:val="4"/>
          <w:sz w:val="19"/>
          <w:shd w:fill="FFFFFF" w:val="clear"/>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84" w:after="283"/>
        <w:ind w:left="580"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before="38" w:after="283"/>
        <w:ind w:left="580" w:right="40" w:hanging="0"/>
        <w:jc w:val="left"/>
        <w:rPr>
          <w:caps w:val="false"/>
          <w:smallCaps w:val="false"/>
          <w:color w:val="000000"/>
          <w:bdr w:val="single" w:sz="16" w:space="1" w:color="000000"/>
          <w:shd w:fill="FFFFFF" w:val="clear"/>
        </w:rPr>
      </w:pPr>
      <w:r>
        <w:rPr>
          <w:caps w:val="false"/>
          <w:smallCaps w:val="false"/>
          <w:color w:val="000000"/>
          <w:bdr w:val="single" w:sz="16" w:space="1" w:color="000000"/>
          <w:shd w:fill="FFFFFF" w:val="clear"/>
        </w:rPr>
        <w:t>​</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TABLE OF CO-REGISTRANTS</w:t>
      </w:r>
      <w:r>
        <w:rPr>
          <w:rFonts w:ascii="Times New Roman;Times;serif" w:hAnsi="Times New Roman;Times;serif"/>
          <w:b/>
          <w:i w:val="false"/>
          <w:caps w:val="false"/>
          <w:smallCaps w:val="false"/>
          <w:color w:val="000000"/>
          <w:spacing w:val="4"/>
          <w:sz w:val="20"/>
          <w:shd w:fill="FFFFFF" w:val="clear"/>
        </w:rPr>
        <w:t xml:space="preserve"> </w:t>
      </w:r>
    </w:p>
    <w:tbl>
      <w:tblPr>
        <w:tblW w:w="7915" w:type="dxa"/>
        <w:jc w:val="left"/>
        <w:tblInd w:w="1433" w:type="dxa"/>
        <w:tblLayout w:type="fixed"/>
        <w:tblCellMar>
          <w:top w:w="0" w:type="dxa"/>
          <w:left w:w="0" w:type="dxa"/>
          <w:bottom w:w="28" w:type="dxa"/>
          <w:right w:w="0" w:type="dxa"/>
        </w:tblCellMar>
      </w:tblPr>
      <w:tblGrid>
        <w:gridCol w:w="3063"/>
        <w:gridCol w:w="109"/>
        <w:gridCol w:w="109"/>
        <w:gridCol w:w="2476"/>
        <w:gridCol w:w="109"/>
        <w:gridCol w:w="109"/>
        <w:gridCol w:w="1786"/>
        <w:gridCol w:w="154"/>
      </w:tblGrid>
      <w:tr>
        <w:trPr/>
        <w:tc>
          <w:tcPr>
            <w:tcW w:w="3063" w:type="dxa"/>
            <w:tcBorders>
              <w:bottom w:val="single" w:sz="2" w:space="0" w:color="000000"/>
            </w:tcBorders>
            <w:vAlign w:val="center"/>
          </w:tcPr>
          <w:p>
            <w:pPr>
              <w:pStyle w:val="TableContents"/>
              <w:bidi w:val="0"/>
              <w:spacing w:before="0" w:after="0"/>
              <w:jc w:val="left"/>
              <w:rPr>
                <w:spacing w:val="-3"/>
              </w:rPr>
            </w:pPr>
            <w:r>
              <w:rPr>
                <w:spacing w:val="-3"/>
              </w:rPr>
              <w:t xml:space="preserve">Exact name of Registrant*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76" w:type="dxa"/>
            <w:tcBorders>
              <w:bottom w:val="single" w:sz="2" w:space="0" w:color="000000"/>
            </w:tcBorders>
            <w:vAlign w:val="center"/>
          </w:tcPr>
          <w:p>
            <w:pPr>
              <w:pStyle w:val="TableContents"/>
              <w:bidi w:val="0"/>
              <w:spacing w:before="0" w:after="0"/>
              <w:jc w:val="center"/>
              <w:rPr>
                <w:spacing w:val="-3"/>
              </w:rPr>
            </w:pPr>
            <w:r>
              <w:rPr>
                <w:spacing w:val="-3"/>
              </w:rPr>
              <w:t xml:space="preserve">Jurisdiction of Formation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86" w:type="dxa"/>
            <w:tcBorders>
              <w:bottom w:val="single" w:sz="2" w:space="0" w:color="000000"/>
            </w:tcBorders>
            <w:vAlign w:val="center"/>
          </w:tcPr>
          <w:p>
            <w:pPr>
              <w:pStyle w:val="TableContents"/>
              <w:bidi w:val="0"/>
              <w:spacing w:before="0" w:after="0"/>
              <w:jc w:val="center"/>
              <w:rPr/>
            </w:pPr>
            <w:r>
              <w:rPr>
                <w:spacing w:val="-3"/>
              </w:rPr>
              <w:t>I.R.S. Employer</w:t>
            </w:r>
            <w:r>
              <w:rPr/>
              <w:t xml:space="preserve"> </w:t>
              <w:br/>
            </w:r>
            <w:r>
              <w:rPr>
                <w:spacing w:val="-3"/>
              </w:rPr>
              <w:t xml:space="preserve">Identification No.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063" w:type="dxa"/>
            <w:tcBorders/>
            <w:tcMar>
              <w:bottom w:w="0" w:type="dxa"/>
            </w:tcMar>
            <w:vAlign w:val="center"/>
          </w:tcPr>
          <w:p>
            <w:pPr>
              <w:pStyle w:val="TableContents"/>
              <w:bidi w:val="0"/>
              <w:spacing w:before="0" w:after="283"/>
              <w:jc w:val="left"/>
              <w:rPr>
                <w:spacing w:val="4"/>
              </w:rPr>
            </w:pPr>
            <w:r>
              <w:rPr>
                <w:spacing w:val="4"/>
              </w:rPr>
              <w:t xml:space="preserve">Acuity Brands Lighting,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76"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6" w:type="dxa"/>
            <w:tcBorders/>
            <w:tcMar>
              <w:bottom w:w="0" w:type="dxa"/>
            </w:tcMar>
            <w:vAlign w:val="center"/>
          </w:tcPr>
          <w:p>
            <w:pPr>
              <w:pStyle w:val="TableContents"/>
              <w:bidi w:val="0"/>
              <w:spacing w:before="0" w:after="0"/>
              <w:jc w:val="center"/>
              <w:rPr>
                <w:spacing w:val="4"/>
              </w:rPr>
            </w:pPr>
            <w:r>
              <w:rPr>
                <w:spacing w:val="4"/>
              </w:rPr>
              <w:t xml:space="preserve">58-2633371 </w:t>
            </w:r>
          </w:p>
        </w:tc>
        <w:tc>
          <w:tcPr>
            <w:tcW w:w="154" w:type="dxa"/>
            <w:tcBorders/>
            <w:tcMar>
              <w:bottom w:w="0" w:type="dxa"/>
            </w:tcMar>
            <w:vAlign w:val="center"/>
          </w:tcPr>
          <w:p>
            <w:pPr>
              <w:pStyle w:val="TableContents"/>
              <w:bidi w:val="0"/>
              <w:spacing w:before="0" w:after="283"/>
              <w:jc w:val="left"/>
              <w:rPr/>
            </w:pPr>
            <w:r>
              <w:rPr/>
              <w:t>​</w:t>
            </w:r>
          </w:p>
        </w:tc>
      </w:tr>
      <w:tr>
        <w:trPr/>
        <w:tc>
          <w:tcPr>
            <w:tcW w:w="3063" w:type="dxa"/>
            <w:tcBorders/>
            <w:tcMar>
              <w:bottom w:w="0" w:type="dxa"/>
            </w:tcMar>
            <w:vAlign w:val="center"/>
          </w:tcPr>
          <w:p>
            <w:pPr>
              <w:pStyle w:val="TableContents"/>
              <w:bidi w:val="0"/>
              <w:spacing w:before="0" w:after="283"/>
              <w:jc w:val="left"/>
              <w:rPr>
                <w:spacing w:val="4"/>
              </w:rPr>
            </w:pPr>
            <w:r>
              <w:rPr>
                <w:spacing w:val="4"/>
              </w:rPr>
              <w:t xml:space="preserve">Acuity Intelligent Spaces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76"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6" w:type="dxa"/>
            <w:tcBorders/>
            <w:tcMar>
              <w:bottom w:w="0" w:type="dxa"/>
            </w:tcMar>
            <w:vAlign w:val="center"/>
          </w:tcPr>
          <w:p>
            <w:pPr>
              <w:pStyle w:val="TableContents"/>
              <w:bidi w:val="0"/>
              <w:spacing w:before="0" w:after="0"/>
              <w:jc w:val="center"/>
              <w:rPr>
                <w:spacing w:val="4"/>
              </w:rPr>
            </w:pPr>
            <w:r>
              <w:rPr>
                <w:spacing w:val="4"/>
              </w:rPr>
              <w:t xml:space="preserve">31-1832408 </w:t>
            </w:r>
          </w:p>
        </w:tc>
        <w:tc>
          <w:tcPr>
            <w:tcW w:w="154" w:type="dxa"/>
            <w:tcBorders/>
            <w:tcMar>
              <w:bottom w:w="0" w:type="dxa"/>
            </w:tcMar>
            <w:vAlign w:val="center"/>
          </w:tcPr>
          <w:p>
            <w:pPr>
              <w:pStyle w:val="TableContents"/>
              <w:bidi w:val="0"/>
              <w:spacing w:before="0" w:after="283"/>
              <w:jc w:val="left"/>
              <w:rPr/>
            </w:pPr>
            <w:r>
              <w:rPr/>
              <w:t>​</w:t>
            </w:r>
          </w:p>
        </w:tc>
      </w:tr>
      <w:tr>
        <w:trPr/>
        <w:tc>
          <w:tcPr>
            <w:tcW w:w="3063" w:type="dxa"/>
            <w:tcBorders/>
            <w:tcMar>
              <w:bottom w:w="0" w:type="dxa"/>
            </w:tcMar>
            <w:vAlign w:val="center"/>
          </w:tcPr>
          <w:p>
            <w:pPr>
              <w:pStyle w:val="TableContents"/>
              <w:bidi w:val="0"/>
              <w:spacing w:before="0" w:after="283"/>
              <w:jc w:val="left"/>
              <w:rPr>
                <w:spacing w:val="4"/>
              </w:rPr>
            </w:pPr>
            <w:r>
              <w:rPr>
                <w:spacing w:val="4"/>
              </w:rPr>
              <w:t xml:space="preserve">QSC,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76" w:type="dxa"/>
            <w:tcBorders/>
            <w:tcMar>
              <w:bottom w:w="0" w:type="dxa"/>
            </w:tcMar>
            <w:vAlign w:val="center"/>
          </w:tcPr>
          <w:p>
            <w:pPr>
              <w:pStyle w:val="TableContents"/>
              <w:bidi w:val="0"/>
              <w:spacing w:before="0" w:after="0"/>
              <w:jc w:val="center"/>
              <w:rPr>
                <w:spacing w:val="4"/>
              </w:rPr>
            </w:pPr>
            <w:r>
              <w:rPr>
                <w:spacing w:val="4"/>
              </w:rPr>
              <w:t xml:space="preserve">California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6" w:type="dxa"/>
            <w:tcBorders/>
            <w:tcMar>
              <w:bottom w:w="0" w:type="dxa"/>
            </w:tcMar>
            <w:vAlign w:val="center"/>
          </w:tcPr>
          <w:p>
            <w:pPr>
              <w:pStyle w:val="TableContents"/>
              <w:bidi w:val="0"/>
              <w:spacing w:before="0" w:after="0"/>
              <w:jc w:val="center"/>
              <w:rPr>
                <w:spacing w:val="4"/>
              </w:rPr>
            </w:pPr>
            <w:r>
              <w:rPr>
                <w:spacing w:val="4"/>
              </w:rPr>
              <w:t xml:space="preserve">95-3412527 </w:t>
            </w:r>
          </w:p>
        </w:tc>
        <w:tc>
          <w:tcPr>
            <w:tcW w:w="154" w:type="dxa"/>
            <w:tcBorders/>
            <w:tcMar>
              <w:bottom w:w="0" w:type="dxa"/>
            </w:tcMar>
            <w:vAlign w:val="center"/>
          </w:tcPr>
          <w:p>
            <w:pPr>
              <w:pStyle w:val="TableContents"/>
              <w:bidi w:val="0"/>
              <w:spacing w:before="0" w:after="283"/>
              <w:jc w:val="left"/>
              <w:rPr/>
            </w:pPr>
            <w:r>
              <w:rPr/>
              <w:t>​</w:t>
            </w:r>
          </w:p>
        </w:tc>
      </w:tr>
      <w:tr>
        <w:trPr/>
        <w:tc>
          <w:tcPr>
            <w:tcW w:w="3063" w:type="dxa"/>
            <w:tcBorders/>
            <w:tcMar>
              <w:bottom w:w="0" w:type="dxa"/>
            </w:tcMar>
            <w:vAlign w:val="center"/>
          </w:tcPr>
          <w:p>
            <w:pPr>
              <w:pStyle w:val="TableContents"/>
              <w:bidi w:val="0"/>
              <w:spacing w:before="0" w:after="283"/>
              <w:jc w:val="left"/>
              <w:rPr>
                <w:spacing w:val="4"/>
              </w:rPr>
            </w:pPr>
            <w:r>
              <w:rPr>
                <w:spacing w:val="4"/>
              </w:rPr>
              <w:t xml:space="preserve">ABL IP Holding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76" w:type="dxa"/>
            <w:tcBorders/>
            <w:tcMar>
              <w:bottom w:w="0" w:type="dxa"/>
            </w:tcMar>
            <w:vAlign w:val="center"/>
          </w:tcPr>
          <w:p>
            <w:pPr>
              <w:pStyle w:val="TableContents"/>
              <w:bidi w:val="0"/>
              <w:spacing w:before="0" w:after="0"/>
              <w:jc w:val="center"/>
              <w:rPr>
                <w:spacing w:val="4"/>
              </w:rPr>
            </w:pPr>
            <w:r>
              <w:rPr>
                <w:spacing w:val="4"/>
              </w:rPr>
              <w:t xml:space="preserve">Georgia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6" w:type="dxa"/>
            <w:tcBorders/>
            <w:tcMar>
              <w:bottom w:w="0" w:type="dxa"/>
            </w:tcMar>
            <w:vAlign w:val="center"/>
          </w:tcPr>
          <w:p>
            <w:pPr>
              <w:pStyle w:val="TableContents"/>
              <w:bidi w:val="0"/>
              <w:spacing w:before="0" w:after="0"/>
              <w:jc w:val="center"/>
              <w:rPr/>
            </w:pPr>
            <w:r>
              <w:rPr>
                <w:spacing w:val="4"/>
              </w:rPr>
              <w:t>93-4672136</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address for each of the additional registrants is c/o Acuity Inc., 1170 Peachtree Street, N.E. Suite 1200, Atlanta, Georgia 30309.</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101600" distB="0" distL="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before="717" w:after="437"/>
        <w:ind w:left="580" w:right="40" w:hanging="0"/>
        <w:jc w:val="center"/>
        <w:rPr>
          <w:caps w:val="false"/>
          <w:smallCaps w:val="false"/>
          <w:color w:val="000000"/>
          <w:shd w:fill="FFFFFF" w:val="clear"/>
        </w:rPr>
      </w:pPr>
      <w:r>
        <w:rPr>
          <w:caps w:val="false"/>
          <w:smallCaps w:val="false"/>
          <w:color w:val="000000"/>
          <w:shd w:fill="FFFFFF" w:val="clear"/>
        </w:rPr>
        <w:drawing>
          <wp:inline distT="0" distB="0" distL="0" distR="0">
            <wp:extent cx="1800225" cy="95250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1800225" cy="952500"/>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320" w:before="156"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ACUITY INC.</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lineRule="atLeast" w:line="270" w:before="70" w:after="283"/>
        <w:jc w:val="center"/>
        <w:rPr>
          <w:rFonts w:ascii="Times New Roman;Times;serif" w:hAnsi="Times New Roman;Times;serif"/>
          <w:b/>
          <w:i w:val="false"/>
          <w:caps w:val="false"/>
          <w:smallCaps w:val="false"/>
          <w:color w:val="000000"/>
          <w:sz w:val="24"/>
          <w:shd w:fill="FFFFFF" w:val="clear"/>
        </w:rPr>
      </w:pPr>
      <w:r>
        <w:rPr>
          <w:rFonts w:ascii="Times New Roman;Times;serif" w:hAnsi="Times New Roman;Times;serif"/>
          <w:b/>
          <w:i w:val="false"/>
          <w:caps w:val="false"/>
          <w:smallCaps w:val="false"/>
          <w:color w:val="000000"/>
          <w:spacing w:val="-5"/>
          <w:sz w:val="24"/>
          <w:shd w:fill="FFFFFF" w:val="clear"/>
        </w:rPr>
        <w:t>Common Stock</w:t>
      </w:r>
      <w:r>
        <w:rPr>
          <w:rFonts w:ascii="Times New Roman;Times;serif" w:hAnsi="Times New Roman;Times;serif"/>
          <w:b/>
          <w:i w:val="false"/>
          <w:caps w:val="false"/>
          <w:smallCaps w:val="false"/>
          <w:color w:val="000000"/>
          <w:sz w:val="24"/>
          <w:shd w:fill="FFFFFF" w:val="clear"/>
        </w:rPr>
        <w:t xml:space="preserve"> </w:t>
        <w:br/>
      </w:r>
      <w:r>
        <w:rPr>
          <w:rFonts w:ascii="Times New Roman;Times;serif" w:hAnsi="Times New Roman;Times;serif"/>
          <w:b/>
          <w:i w:val="false"/>
          <w:caps w:val="false"/>
          <w:smallCaps w:val="false"/>
          <w:color w:val="000000"/>
          <w:spacing w:val="-5"/>
          <w:sz w:val="24"/>
          <w:shd w:fill="FFFFFF" w:val="clear"/>
        </w:rPr>
        <w:t>Preferred Stock</w:t>
      </w:r>
      <w:r>
        <w:rPr>
          <w:rFonts w:ascii="Times New Roman;Times;serif" w:hAnsi="Times New Roman;Times;serif"/>
          <w:b/>
          <w:i w:val="false"/>
          <w:caps w:val="false"/>
          <w:smallCaps w:val="false"/>
          <w:color w:val="000000"/>
          <w:sz w:val="24"/>
          <w:shd w:fill="FFFFFF" w:val="clear"/>
        </w:rPr>
        <w:t xml:space="preserve"> </w:t>
        <w:br/>
      </w:r>
      <w:r>
        <w:rPr>
          <w:rFonts w:ascii="Times New Roman;Times;serif" w:hAnsi="Times New Roman;Times;serif"/>
          <w:b/>
          <w:i w:val="false"/>
          <w:caps w:val="false"/>
          <w:smallCaps w:val="false"/>
          <w:color w:val="000000"/>
          <w:spacing w:val="-5"/>
          <w:sz w:val="24"/>
          <w:shd w:fill="FFFFFF" w:val="clear"/>
        </w:rPr>
        <w:t>Depositary Shares</w:t>
      </w:r>
      <w:r>
        <w:rPr>
          <w:rFonts w:ascii="Times New Roman;Times;serif" w:hAnsi="Times New Roman;Times;serif"/>
          <w:b/>
          <w:i w:val="false"/>
          <w:caps w:val="false"/>
          <w:smallCaps w:val="false"/>
          <w:color w:val="000000"/>
          <w:sz w:val="24"/>
          <w:shd w:fill="FFFFFF" w:val="clear"/>
        </w:rPr>
        <w:t xml:space="preserve"> </w:t>
        <w:br/>
      </w:r>
      <w:r>
        <w:rPr>
          <w:rFonts w:ascii="Times New Roman;Times;serif" w:hAnsi="Times New Roman;Times;serif"/>
          <w:b/>
          <w:i w:val="false"/>
          <w:caps w:val="false"/>
          <w:smallCaps w:val="false"/>
          <w:color w:val="000000"/>
          <w:spacing w:val="-5"/>
          <w:sz w:val="24"/>
          <w:shd w:fill="FFFFFF" w:val="clear"/>
        </w:rPr>
        <w:t>Debt Securities</w:t>
      </w:r>
      <w:r>
        <w:rPr>
          <w:rFonts w:ascii="Times New Roman;Times;serif" w:hAnsi="Times New Roman;Times;serif"/>
          <w:b/>
          <w:i w:val="false"/>
          <w:caps w:val="false"/>
          <w:smallCaps w:val="false"/>
          <w:color w:val="000000"/>
          <w:sz w:val="24"/>
          <w:shd w:fill="FFFFFF" w:val="clear"/>
        </w:rPr>
        <w:t xml:space="preserve"> </w:t>
        <w:br/>
      </w:r>
      <w:r>
        <w:rPr>
          <w:rFonts w:ascii="Times New Roman;Times;serif" w:hAnsi="Times New Roman;Times;serif"/>
          <w:b/>
          <w:i w:val="false"/>
          <w:caps w:val="false"/>
          <w:smallCaps w:val="false"/>
          <w:color w:val="000000"/>
          <w:spacing w:val="-5"/>
          <w:sz w:val="24"/>
          <w:shd w:fill="FFFFFF" w:val="clear"/>
        </w:rPr>
        <w:t>Guarantees of the Debt Securities of Acuity Brands Lighting, Inc.</w:t>
      </w:r>
      <w:r>
        <w:rPr>
          <w:rFonts w:ascii="Times New Roman;Times;serif" w:hAnsi="Times New Roman;Times;serif"/>
          <w:b/>
          <w:i w:val="false"/>
          <w:caps w:val="false"/>
          <w:smallCaps w:val="false"/>
          <w:color w:val="000000"/>
          <w:spacing w:val="5"/>
          <w:sz w:val="24"/>
          <w:shd w:fill="FFFFFF" w:val="clear"/>
        </w:rPr>
        <w:t xml:space="preserve"> </w:t>
      </w:r>
    </w:p>
    <w:p>
      <w:pPr>
        <w:pStyle w:val="TextBody"/>
        <w:bidi w:val="0"/>
        <w:spacing w:lineRule="atLeast" w:line="320" w:before="7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ACUITY BRANDS LIGHTING, INC.</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lineRule="atLeast" w:line="270" w:before="70" w:after="283"/>
        <w:jc w:val="center"/>
        <w:rPr>
          <w:rFonts w:ascii="Times New Roman;Times;serif" w:hAnsi="Times New Roman;Times;serif"/>
          <w:b/>
          <w:i w:val="false"/>
          <w:caps w:val="false"/>
          <w:smallCaps w:val="false"/>
          <w:color w:val="000000"/>
          <w:sz w:val="24"/>
          <w:shd w:fill="FFFFFF" w:val="clear"/>
        </w:rPr>
      </w:pPr>
      <w:r>
        <w:rPr>
          <w:rFonts w:ascii="Times New Roman;Times;serif" w:hAnsi="Times New Roman;Times;serif"/>
          <w:b/>
          <w:i w:val="false"/>
          <w:caps w:val="false"/>
          <w:smallCaps w:val="false"/>
          <w:color w:val="000000"/>
          <w:spacing w:val="-5"/>
          <w:sz w:val="24"/>
          <w:shd w:fill="FFFFFF" w:val="clear"/>
        </w:rPr>
        <w:t xml:space="preserve">Debt Securities </w:t>
      </w:r>
      <w:r>
        <w:rPr>
          <w:rFonts w:ascii="Times New Roman;Times;serif" w:hAnsi="Times New Roman;Times;serif"/>
          <w:b/>
          <w:i w:val="false"/>
          <w:caps w:val="false"/>
          <w:smallCaps w:val="false"/>
          <w:color w:val="000000"/>
          <w:sz w:val="24"/>
          <w:shd w:fill="FFFFFF" w:val="clear"/>
        </w:rPr>
        <w:br/>
      </w:r>
      <w:r>
        <w:rPr>
          <w:rFonts w:ascii="Times New Roman;Times;serif" w:hAnsi="Times New Roman;Times;serif"/>
          <w:b/>
          <w:i w:val="false"/>
          <w:caps w:val="false"/>
          <w:smallCaps w:val="false"/>
          <w:color w:val="000000"/>
          <w:spacing w:val="-5"/>
          <w:sz w:val="24"/>
          <w:shd w:fill="FFFFFF" w:val="clear"/>
        </w:rPr>
        <w:t>Guarantees of the Debt Securities of Acuity Inc.</w:t>
      </w:r>
      <w:r>
        <w:rPr>
          <w:rFonts w:ascii="Times New Roman;Times;serif" w:hAnsi="Times New Roman;Times;serif"/>
          <w:b/>
          <w:i w:val="false"/>
          <w:caps w:val="false"/>
          <w:smallCaps w:val="false"/>
          <w:color w:val="000000"/>
          <w:spacing w:val="5"/>
          <w:sz w:val="24"/>
          <w:shd w:fill="FFFFFF" w:val="clear"/>
        </w:rPr>
        <w:t xml:space="preserve"> </w:t>
      </w:r>
    </w:p>
    <w:p>
      <w:pPr>
        <w:pStyle w:val="TextBody"/>
        <w:bidi w:val="0"/>
        <w:spacing w:lineRule="atLeast" w:line="320" w:before="7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ACUITY INTELLIGENT SPACES INC.</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lineRule="atLeast" w:line="280" w:before="70" w:after="283"/>
        <w:jc w:val="center"/>
        <w:rPr>
          <w:rFonts w:ascii="Times New Roman;Times;serif" w:hAnsi="Times New Roman;Times;serif"/>
          <w:b/>
          <w:i w:val="false"/>
          <w:caps w:val="false"/>
          <w:smallCaps w:val="false"/>
          <w:color w:val="000000"/>
          <w:sz w:val="24"/>
          <w:shd w:fill="FFFFFF" w:val="clear"/>
        </w:rPr>
      </w:pPr>
      <w:r>
        <w:rPr>
          <w:rFonts w:ascii="Times New Roman;Times;serif" w:hAnsi="Times New Roman;Times;serif"/>
          <w:b/>
          <w:i w:val="false"/>
          <w:caps w:val="false"/>
          <w:smallCaps w:val="false"/>
          <w:color w:val="000000"/>
          <w:spacing w:val="-5"/>
          <w:sz w:val="24"/>
          <w:shd w:fill="FFFFFF" w:val="clear"/>
        </w:rPr>
        <w:t>Guarantees of the Debt Securities of Acuity Inc.</w:t>
      </w:r>
      <w:r>
        <w:rPr>
          <w:rFonts w:ascii="Times New Roman;Times;serif" w:hAnsi="Times New Roman;Times;serif"/>
          <w:b/>
          <w:i w:val="false"/>
          <w:caps w:val="false"/>
          <w:smallCaps w:val="false"/>
          <w:color w:val="000000"/>
          <w:spacing w:val="5"/>
          <w:sz w:val="24"/>
          <w:shd w:fill="FFFFFF" w:val="clear"/>
        </w:rPr>
        <w:t xml:space="preserve"> </w:t>
      </w:r>
    </w:p>
    <w:p>
      <w:pPr>
        <w:pStyle w:val="TextBody"/>
        <w:bidi w:val="0"/>
        <w:spacing w:lineRule="atLeast" w:line="320" w:before="7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QSC, LLC</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lineRule="atLeast" w:line="280" w:before="70" w:after="283"/>
        <w:jc w:val="center"/>
        <w:rPr>
          <w:rFonts w:ascii="Times New Roman;Times;serif" w:hAnsi="Times New Roman;Times;serif"/>
          <w:b/>
          <w:i w:val="false"/>
          <w:caps w:val="false"/>
          <w:smallCaps w:val="false"/>
          <w:color w:val="000000"/>
          <w:sz w:val="24"/>
          <w:shd w:fill="FFFFFF" w:val="clear"/>
        </w:rPr>
      </w:pPr>
      <w:r>
        <w:rPr>
          <w:rFonts w:ascii="Times New Roman;Times;serif" w:hAnsi="Times New Roman;Times;serif"/>
          <w:b/>
          <w:i w:val="false"/>
          <w:caps w:val="false"/>
          <w:smallCaps w:val="false"/>
          <w:color w:val="000000"/>
          <w:spacing w:val="-5"/>
          <w:sz w:val="24"/>
          <w:shd w:fill="FFFFFF" w:val="clear"/>
        </w:rPr>
        <w:t>Guarantees of the Debt Securities of Acuity Inc.</w:t>
      </w:r>
      <w:r>
        <w:rPr>
          <w:rFonts w:ascii="Times New Roman;Times;serif" w:hAnsi="Times New Roman;Times;serif"/>
          <w:b/>
          <w:i w:val="false"/>
          <w:caps w:val="false"/>
          <w:smallCaps w:val="false"/>
          <w:color w:val="000000"/>
          <w:spacing w:val="5"/>
          <w:sz w:val="24"/>
          <w:shd w:fill="FFFFFF" w:val="clear"/>
        </w:rPr>
        <w:t xml:space="preserve"> </w:t>
      </w:r>
    </w:p>
    <w:p>
      <w:pPr>
        <w:pStyle w:val="TextBody"/>
        <w:bidi w:val="0"/>
        <w:spacing w:lineRule="atLeast" w:line="320" w:before="7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ABL IP HOLDING LLC</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lineRule="atLeast" w:line="270" w:before="70" w:after="283"/>
        <w:jc w:val="center"/>
        <w:rPr>
          <w:rFonts w:ascii="Times New Roman;Times;serif" w:hAnsi="Times New Roman;Times;serif"/>
          <w:b/>
          <w:i w:val="false"/>
          <w:caps w:val="false"/>
          <w:smallCaps w:val="false"/>
          <w:color w:val="000000"/>
          <w:sz w:val="24"/>
          <w:shd w:fill="FFFFFF" w:val="clear"/>
        </w:rPr>
      </w:pPr>
      <w:r>
        <w:rPr>
          <w:rFonts w:ascii="Times New Roman;Times;serif" w:hAnsi="Times New Roman;Times;serif"/>
          <w:b/>
          <w:i w:val="false"/>
          <w:caps w:val="false"/>
          <w:smallCaps w:val="false"/>
          <w:color w:val="000000"/>
          <w:spacing w:val="-5"/>
          <w:sz w:val="24"/>
          <w:shd w:fill="FFFFFF" w:val="clear"/>
        </w:rPr>
        <w:t xml:space="preserve">Guarantees of the Debt Securities of Acuity Inc. </w:t>
      </w:r>
      <w:r>
        <w:rPr>
          <w:rFonts w:ascii="Times New Roman;Times;serif" w:hAnsi="Times New Roman;Times;serif"/>
          <w:b/>
          <w:i w:val="false"/>
          <w:caps w:val="false"/>
          <w:smallCaps w:val="false"/>
          <w:color w:val="000000"/>
          <w:sz w:val="24"/>
          <w:shd w:fill="FFFFFF" w:val="clear"/>
        </w:rPr>
        <w:br/>
      </w:r>
      <w:r>
        <w:rPr>
          <w:rFonts w:ascii="Times New Roman;Times;serif" w:hAnsi="Times New Roman;Times;serif"/>
          <w:b/>
          <w:i w:val="false"/>
          <w:caps w:val="false"/>
          <w:smallCaps w:val="false"/>
          <w:color w:val="000000"/>
          <w:spacing w:val="-5"/>
          <w:sz w:val="24"/>
          <w:shd w:fill="FFFFFF" w:val="clear"/>
        </w:rPr>
        <w:t>Guarantees of the Debt Securities of Acuity Brands Lighting, Inc.</w:t>
      </w:r>
      <w:r>
        <w:rPr>
          <w:rFonts w:ascii="Times New Roman;Times;serif" w:hAnsi="Times New Roman;Times;serif"/>
          <w:b/>
          <w:i w:val="false"/>
          <w:caps w:val="false"/>
          <w:smallCaps w:val="false"/>
          <w:color w:val="000000"/>
          <w:spacing w:val="5"/>
          <w:sz w:val="24"/>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00" w:before="138" w:after="283"/>
        <w:ind w:left="580" w:right="40" w:firstLine="400"/>
        <w:jc w:val="left"/>
        <w:rPr>
          <w:rFonts w:ascii="Times New Roman;Times;serif" w:hAnsi="Times New Roman;Times;serif"/>
          <w:b w:val="false"/>
          <w:i w:val="false"/>
          <w:caps w:val="false"/>
          <w:smallCaps w:val="false"/>
          <w:color w:val="000000"/>
          <w:spacing w:val="3"/>
          <w:sz w:val="17"/>
          <w:shd w:fill="FFFFFF" w:val="clear"/>
        </w:rPr>
      </w:pPr>
      <w:r>
        <w:rPr>
          <w:rFonts w:ascii="Times New Roman;Times;serif" w:hAnsi="Times New Roman;Times;serif"/>
          <w:b w:val="false"/>
          <w:i w:val="false"/>
          <w:caps w:val="false"/>
          <w:smallCaps w:val="false"/>
          <w:color w:val="000000"/>
          <w:spacing w:val="3"/>
          <w:sz w:val="17"/>
          <w:shd w:fill="FFFFFF" w:val="clear"/>
        </w:rPr>
        <w:t xml:space="preserve">Acuity Inc. may offer and sell common stock, preferred stock, depositary shares, debt securities and guarantees of the debt securities of Acuity Brands Lighting, Inc., from time to time in amounts, at prices and on terms that we will determine at the time of one or more offerings. </w:t>
      </w:r>
    </w:p>
    <w:p>
      <w:pPr>
        <w:pStyle w:val="TextBody"/>
        <w:bidi w:val="0"/>
        <w:spacing w:lineRule="atLeast" w:line="200" w:before="70" w:after="283"/>
        <w:ind w:left="580" w:right="40" w:firstLine="400"/>
        <w:jc w:val="left"/>
        <w:rPr>
          <w:rFonts w:ascii="Times New Roman;Times;serif" w:hAnsi="Times New Roman;Times;serif"/>
          <w:b w:val="false"/>
          <w:i w:val="false"/>
          <w:caps w:val="false"/>
          <w:smallCaps w:val="false"/>
          <w:color w:val="000000"/>
          <w:spacing w:val="3"/>
          <w:sz w:val="17"/>
          <w:shd w:fill="FFFFFF" w:val="clear"/>
        </w:rPr>
      </w:pPr>
      <w:r>
        <w:rPr>
          <w:rFonts w:ascii="Times New Roman;Times;serif" w:hAnsi="Times New Roman;Times;serif"/>
          <w:b w:val="false"/>
          <w:i w:val="false"/>
          <w:caps w:val="false"/>
          <w:smallCaps w:val="false"/>
          <w:color w:val="000000"/>
          <w:spacing w:val="3"/>
          <w:sz w:val="17"/>
          <w:shd w:fill="FFFFFF" w:val="clear"/>
        </w:rPr>
        <w:t xml:space="preserve">Acuity Brands Lighting, Inc. may offer and sell debt securities and guarantees of the debt securities of Acuity Inc., from time to time in amounts, at prices and on terms that we will determine at the time of one or more offerings. </w:t>
      </w:r>
    </w:p>
    <w:p>
      <w:pPr>
        <w:pStyle w:val="TextBody"/>
        <w:bidi w:val="0"/>
        <w:spacing w:lineRule="atLeast" w:line="200" w:before="70" w:after="283"/>
        <w:ind w:left="580" w:right="40" w:firstLine="400"/>
        <w:jc w:val="left"/>
        <w:rPr>
          <w:rFonts w:ascii="Times New Roman;Times;serif" w:hAnsi="Times New Roman;Times;serif"/>
          <w:b w:val="false"/>
          <w:i w:val="false"/>
          <w:caps w:val="false"/>
          <w:smallCaps w:val="false"/>
          <w:color w:val="000000"/>
          <w:spacing w:val="3"/>
          <w:sz w:val="17"/>
          <w:shd w:fill="FFFFFF" w:val="clear"/>
        </w:rPr>
      </w:pPr>
      <w:r>
        <w:rPr>
          <w:rFonts w:ascii="Times New Roman;Times;serif" w:hAnsi="Times New Roman;Times;serif"/>
          <w:b w:val="false"/>
          <w:i w:val="false"/>
          <w:caps w:val="false"/>
          <w:smallCaps w:val="false"/>
          <w:color w:val="000000"/>
          <w:spacing w:val="3"/>
          <w:sz w:val="17"/>
          <w:shd w:fill="FFFFFF" w:val="clear"/>
        </w:rPr>
        <w:t xml:space="preserve">Acuity Intelligent Spaces Inc., QSC, LLC and ABL IP Holding LLC each may guarantee the debt securities of Acuity Inc., and ABL IP Holding LLC may guarantee the debt securities of Acuity Brands Lighting, Inc., in each case, from time to time, and on the terms that we will determine at the time of one or more offerings. </w:t>
      </w:r>
    </w:p>
    <w:p>
      <w:pPr>
        <w:pStyle w:val="TextBody"/>
        <w:bidi w:val="0"/>
        <w:spacing w:lineRule="atLeast" w:line="200" w:before="70" w:after="283"/>
        <w:ind w:left="580" w:right="40" w:firstLine="400"/>
        <w:jc w:val="left"/>
        <w:rPr>
          <w:rFonts w:ascii="Times New Roman;Times;serif" w:hAnsi="Times New Roman;Times;serif"/>
          <w:b w:val="false"/>
          <w:i w:val="false"/>
          <w:caps w:val="false"/>
          <w:smallCaps w:val="false"/>
          <w:color w:val="000000"/>
          <w:spacing w:val="3"/>
          <w:sz w:val="17"/>
          <w:shd w:fill="FFFFFF" w:val="clear"/>
        </w:rPr>
      </w:pPr>
      <w:r>
        <w:rPr>
          <w:rFonts w:ascii="Times New Roman;Times;serif" w:hAnsi="Times New Roman;Times;serif"/>
          <w:b w:val="false"/>
          <w:i w:val="false"/>
          <w:caps w:val="false"/>
          <w:smallCaps w:val="false"/>
          <w:color w:val="000000"/>
          <w:spacing w:val="3"/>
          <w:sz w:val="17"/>
          <w:shd w:fill="FFFFFF" w:val="clear"/>
        </w:rPr>
        <w:t xml:space="preserve">This prospectus provides you with a general description of the securities we may offer. Each time we offer or sell securities pursuant to this prospectus, we will provide a prospectus supplement that will contain specific information about the terms of the securities offered, any guarantees being offered and, if applicable, the selling stockholders. The prospectus supplement will also describe the specific manner in which we will offer the securities. The prospectus supplement may also add, update or change information contained in this prospectus. You should read this prospectus and the applicable prospectus supplement together with the documents incorporated by reference in this prospectus and the applicable prospectus supplement carefully before you decide to invest in any of our securities. </w:t>
      </w:r>
    </w:p>
    <w:p>
      <w:pPr>
        <w:pStyle w:val="TextBody"/>
        <w:bidi w:val="0"/>
        <w:spacing w:lineRule="atLeast" w:line="210" w:before="70" w:after="283"/>
        <w:ind w:left="580" w:right="40" w:firstLine="400"/>
        <w:jc w:val="left"/>
        <w:rPr>
          <w:rFonts w:ascii="Times New Roman;Times;serif" w:hAnsi="Times New Roman;Times;serif"/>
          <w:b w:val="false"/>
          <w:i w:val="false"/>
          <w:caps w:val="false"/>
          <w:smallCaps w:val="false"/>
          <w:color w:val="000000"/>
          <w:spacing w:val="3"/>
          <w:sz w:val="17"/>
          <w:shd w:fill="FFFFFF" w:val="clear"/>
        </w:rPr>
      </w:pPr>
      <w:r>
        <w:rPr>
          <w:rFonts w:ascii="Times New Roman;Times;serif" w:hAnsi="Times New Roman;Times;serif"/>
          <w:b w:val="false"/>
          <w:i w:val="false"/>
          <w:caps w:val="false"/>
          <w:smallCaps w:val="false"/>
          <w:color w:val="000000"/>
          <w:spacing w:val="3"/>
          <w:sz w:val="17"/>
          <w:shd w:fill="FFFFFF" w:val="clear"/>
        </w:rPr>
        <w:t xml:space="preserve">The securities may be offered and sold on a continuous or delayed basis to or through underwriters, brokers, dealers or agents as designated from time to time, or directly to one or more other purchasers or through a combination of such methods. See “Plan of Distribution.”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 </w:t>
      </w:r>
    </w:p>
    <w:p>
      <w:pPr>
        <w:pStyle w:val="TextBody"/>
        <w:bidi w:val="0"/>
        <w:spacing w:lineRule="atLeast" w:line="210" w:before="70" w:after="283"/>
        <w:ind w:left="580" w:right="40" w:firstLine="400"/>
        <w:jc w:val="left"/>
        <w:rPr>
          <w:rFonts w:ascii="Times New Roman;Times;serif" w:hAnsi="Times New Roman;Times;serif"/>
          <w:b w:val="false"/>
          <w:i w:val="false"/>
          <w:caps w:val="false"/>
          <w:smallCaps w:val="false"/>
          <w:color w:val="000000"/>
          <w:spacing w:val="3"/>
          <w:sz w:val="17"/>
          <w:shd w:fill="FFFFFF" w:val="clear"/>
        </w:rPr>
      </w:pPr>
      <w:r>
        <w:rPr>
          <w:rFonts w:ascii="Times New Roman;Times;serif" w:hAnsi="Times New Roman;Times;serif"/>
          <w:b w:val="false"/>
          <w:i w:val="false"/>
          <w:caps w:val="false"/>
          <w:smallCaps w:val="false"/>
          <w:color w:val="000000"/>
          <w:spacing w:val="3"/>
          <w:sz w:val="17"/>
          <w:shd w:fill="FFFFFF" w:val="clear"/>
        </w:rPr>
        <w:t xml:space="preserve">In addition, selling stockholders to be named in a prospectus supplement may offer and sell from time to time shares of our common stock in such amounts as set forth in a prospectus supplement. Unless otherwise set forth in a prospectus supplement, we will not receive any proceeds from the sale of shares of our common stock by any selling stockholders. </w:t>
      </w:r>
    </w:p>
    <w:p>
      <w:pPr>
        <w:pStyle w:val="TextBody"/>
        <w:bidi w:val="0"/>
        <w:spacing w:lineRule="atLeast" w:line="210" w:before="70" w:after="283"/>
        <w:ind w:left="980" w:right="40" w:hanging="0"/>
        <w:jc w:val="left"/>
        <w:rPr>
          <w:rFonts w:ascii="Times New Roman;Times;serif" w:hAnsi="Times New Roman;Times;serif"/>
          <w:b w:val="false"/>
          <w:i w:val="false"/>
          <w:caps w:val="false"/>
          <w:smallCaps w:val="false"/>
          <w:color w:val="000000"/>
          <w:spacing w:val="3"/>
          <w:sz w:val="17"/>
          <w:shd w:fill="FFFFFF" w:val="clear"/>
        </w:rPr>
      </w:pPr>
      <w:r>
        <w:rPr>
          <w:rFonts w:ascii="Times New Roman;Times;serif" w:hAnsi="Times New Roman;Times;serif"/>
          <w:b w:val="false"/>
          <w:i w:val="false"/>
          <w:caps w:val="false"/>
          <w:smallCaps w:val="false"/>
          <w:color w:val="000000"/>
          <w:spacing w:val="3"/>
          <w:sz w:val="17"/>
          <w:shd w:fill="FFFFFF" w:val="clear"/>
        </w:rPr>
        <w:t xml:space="preserve">This prospectus may not be used to offer and sell securities unless accompanied by a prospectus supplement. </w:t>
      </w:r>
    </w:p>
    <w:p>
      <w:pPr>
        <w:pStyle w:val="TextBody"/>
        <w:bidi w:val="0"/>
        <w:spacing w:lineRule="atLeast" w:line="210" w:before="70" w:after="283"/>
        <w:ind w:left="980" w:right="40" w:hanging="0"/>
        <w:jc w:val="left"/>
        <w:rPr>
          <w:rFonts w:ascii="Times New Roman;Times;serif" w:hAnsi="Times New Roman;Times;serif"/>
          <w:b w:val="false"/>
          <w:i w:val="false"/>
          <w:caps w:val="false"/>
          <w:smallCaps w:val="false"/>
          <w:color w:val="000000"/>
          <w:spacing w:val="3"/>
          <w:sz w:val="17"/>
          <w:shd w:fill="FFFFFF" w:val="clear"/>
        </w:rPr>
      </w:pPr>
      <w:r>
        <w:rPr>
          <w:rFonts w:ascii="Times New Roman;Times;serif" w:hAnsi="Times New Roman;Times;serif"/>
          <w:b w:val="false"/>
          <w:i w:val="false"/>
          <w:caps w:val="false"/>
          <w:smallCaps w:val="false"/>
          <w:color w:val="000000"/>
          <w:spacing w:val="3"/>
          <w:sz w:val="17"/>
          <w:shd w:fill="FFFFFF" w:val="clear"/>
        </w:rPr>
        <w:t xml:space="preserve">Our common stock is listed on the New York Stock Exchange under the symbol “AYI.”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10" w:before="140" w:after="283"/>
        <w:ind w:left="580" w:right="40" w:firstLine="400"/>
        <w:jc w:val="left"/>
        <w:rPr/>
      </w:pPr>
      <w:r>
        <w:rPr>
          <w:rFonts w:ascii="Times New Roman;Times;serif" w:hAnsi="Times New Roman;Times;serif"/>
          <w:b/>
          <w:i/>
          <w:caps w:val="false"/>
          <w:smallCaps w:val="false"/>
          <w:color w:val="000000"/>
          <w:spacing w:val="-3"/>
          <w:sz w:val="17"/>
          <w:shd w:fill="FFFFFF" w:val="clear"/>
        </w:rPr>
        <w:t xml:space="preserve">You should carefully consider the risk factors referred to on page </w:t>
      </w:r>
      <w:hyperlink w:anchor="tRIFA">
        <w:r>
          <w:rPr>
            <w:rStyle w:val="InternetLink"/>
          </w:rPr>
          <w:t>1</w:t>
        </w:r>
      </w:hyperlink>
      <w:r>
        <w:rPr>
          <w:rFonts w:ascii="Times New Roman;Times;serif" w:hAnsi="Times New Roman;Times;serif"/>
          <w:b/>
          <w:i/>
          <w:caps w:val="false"/>
          <w:smallCaps w:val="false"/>
          <w:color w:val="000000"/>
          <w:spacing w:val="-3"/>
          <w:sz w:val="17"/>
          <w:shd w:fill="FFFFFF" w:val="clear"/>
        </w:rPr>
        <w:t xml:space="preserve"> of this prospectus, in any applicable prospectus supplement and in the documents incorporated by reference in this prospectus and the applicable prospectus supplement before you invest in our securities.</w:t>
      </w:r>
      <w:r>
        <w:rPr>
          <w:rFonts w:ascii="Times New Roman;Times;serif" w:hAnsi="Times New Roman;Times;serif"/>
          <w:b/>
          <w:i/>
          <w:caps w:val="false"/>
          <w:smallCaps w:val="false"/>
          <w:color w:val="000000"/>
          <w:spacing w:val="3"/>
          <w:sz w:val="17"/>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10" w:before="140" w:after="283"/>
        <w:ind w:left="580" w:right="40" w:firstLine="400"/>
        <w:jc w:val="left"/>
        <w:rPr>
          <w:rFonts w:ascii="Times New Roman;Times;serif" w:hAnsi="Times New Roman;Times;serif"/>
          <w:b/>
          <w:i/>
          <w:caps w:val="false"/>
          <w:smallCaps w:val="false"/>
          <w:color w:val="000000"/>
          <w:sz w:val="17"/>
          <w:shd w:fill="FFFFFF" w:val="clear"/>
        </w:rPr>
      </w:pPr>
      <w:r>
        <w:rPr>
          <w:rFonts w:ascii="Times New Roman;Times;serif" w:hAnsi="Times New Roman;Times;serif"/>
          <w:b/>
          <w:i/>
          <w:caps w:val="false"/>
          <w:smallCaps w:val="false"/>
          <w:color w:val="000000"/>
          <w:spacing w:val="-3"/>
          <w:sz w:val="17"/>
          <w:shd w:fill="FFFFFF" w:val="clear"/>
        </w:rPr>
        <w:t>Neither the Securities and Exchange Commission nor any state or other securities commission has approved or disapproved of these securities or determined if this prospectus is truthful or complete. Any representation to the contrary is a criminal offense.</w:t>
      </w:r>
      <w:r>
        <w:rPr>
          <w:rFonts w:ascii="Times New Roman;Times;serif" w:hAnsi="Times New Roman;Times;serif"/>
          <w:b/>
          <w:i/>
          <w:caps w:val="false"/>
          <w:smallCaps w:val="false"/>
          <w:color w:val="000000"/>
          <w:spacing w:val="3"/>
          <w:sz w:val="17"/>
          <w:shd w:fill="FFFFFF" w:val="clear"/>
        </w:rPr>
        <w:t xml:space="preserve"> </w:t>
      </w:r>
    </w:p>
    <w:p>
      <w:pPr>
        <w:pStyle w:val="TextBody"/>
        <w:bidi w:val="0"/>
        <w:spacing w:lineRule="atLeast" w:line="220" w:before="70" w:after="283"/>
        <w:jc w:val="center"/>
        <w:rPr>
          <w:rFonts w:ascii="Times New Roman;Times;serif" w:hAnsi="Times New Roman;Times;serif"/>
          <w:b/>
          <w:i w:val="false"/>
          <w:caps w:val="false"/>
          <w:smallCaps w:val="false"/>
          <w:color w:val="000000"/>
          <w:sz w:val="18"/>
          <w:shd w:fill="FFFFFF" w:val="clear"/>
        </w:rPr>
      </w:pPr>
      <w:r>
        <w:rPr>
          <w:rFonts w:ascii="Times New Roman;Times;serif" w:hAnsi="Times New Roman;Times;serif"/>
          <w:b/>
          <w:i w:val="false"/>
          <w:caps w:val="false"/>
          <w:smallCaps w:val="false"/>
          <w:color w:val="000000"/>
          <w:spacing w:val="-4"/>
          <w:sz w:val="18"/>
          <w:shd w:fill="FFFFFF" w:val="clear"/>
        </w:rPr>
        <w:t>The date of this prospectus is October 23, 2026</w:t>
      </w:r>
      <w:r>
        <w:rPr>
          <w:rFonts w:ascii="Times New Roman;Times;serif" w:hAnsi="Times New Roman;Times;serif"/>
          <w:b/>
          <w:i w:val="false"/>
          <w:caps w:val="false"/>
          <w:smallCaps w:val="false"/>
          <w:color w:val="000000"/>
          <w:sz w:val="18"/>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 w:name="TOC"/>
      <w:bookmarkEnd w:id="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717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TABLE OF CONTENTS</w:t>
      </w:r>
      <w:r>
        <w:rPr>
          <w:rFonts w:ascii="Times New Roman;Times;serif" w:hAnsi="Times New Roman;Time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7637"/>
        <w:gridCol w:w="109"/>
        <w:gridCol w:w="109"/>
        <w:gridCol w:w="109"/>
        <w:gridCol w:w="109"/>
        <w:gridCol w:w="395"/>
        <w:gridCol w:w="109"/>
        <w:gridCol w:w="155"/>
      </w:tblGrid>
      <w:tr>
        <w:trPr/>
        <w:tc>
          <w:tcPr>
            <w:tcW w:w="763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37"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37"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WYCF">
              <w:r>
                <w:rPr>
                  <w:rStyle w:val="InternetLink"/>
                  <w:spacing w:val="4"/>
                </w:rPr>
                <w:t>ii</w:t>
              </w:r>
            </w:hyperlink>
            <w:hyperlink w:anchor="t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37" w:type="dxa"/>
            <w:tcBorders/>
            <w:shd w:fill="CCEEFF" w:val="clear"/>
            <w:tcMar>
              <w:bottom w:w="0" w:type="dxa"/>
            </w:tcMar>
            <w:vAlign w:val="center"/>
          </w:tcPr>
          <w:p>
            <w:pPr>
              <w:pStyle w:val="TableContents"/>
              <w:bidi w:val="0"/>
              <w:spacing w:before="0" w:after="0"/>
              <w:jc w:val="left"/>
              <w:rPr/>
            </w:pPr>
            <w:hyperlink w:anchor="tIOCI">
              <w:r>
                <w:rPr>
                  <w:rStyle w:val="InternetLink"/>
                  <w:spacing w:val="4"/>
                </w:rPr>
                <w:t xml:space="preserve">INCORPORATION OF CERTAIN INFORMATION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IOCI">
              <w:r>
                <w:rPr>
                  <w:rStyle w:val="InternetLink"/>
                  <w:spacing w:val="4"/>
                </w:rPr>
                <w:t>ii</w:t>
              </w:r>
            </w:hyperlink>
            <w:hyperlink w:anchor="tIOC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37" w:type="dxa"/>
            <w:tcBorders/>
            <w:tcMar>
              <w:bottom w:w="0" w:type="dxa"/>
            </w:tcMar>
            <w:vAlign w:val="center"/>
          </w:tcPr>
          <w:p>
            <w:pPr>
              <w:pStyle w:val="TableContents"/>
              <w:bidi w:val="0"/>
              <w:spacing w:before="0" w:after="0"/>
              <w:jc w:val="left"/>
              <w:rPr/>
            </w:pPr>
            <w:hyperlink w:anchor="tFOST">
              <w:r>
                <w:rPr>
                  <w:rStyle w:val="InternetLink"/>
                  <w:spacing w:val="4"/>
                </w:rPr>
                <w:t xml:space="preserve">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FOST">
              <w:r>
                <w:rPr>
                  <w:rStyle w:val="InternetLink"/>
                  <w:spacing w:val="4"/>
                </w:rPr>
                <w:t>iii</w:t>
              </w:r>
            </w:hyperlink>
            <w:hyperlink w:anchor="tFO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37" w:type="dxa"/>
            <w:tcBorders/>
            <w:shd w:fill="CCEEFF" w:val="clear"/>
            <w:tcMar>
              <w:bottom w:w="0" w:type="dxa"/>
            </w:tcMar>
            <w:vAlign w:val="center"/>
          </w:tcPr>
          <w:p>
            <w:pPr>
              <w:pStyle w:val="TableContents"/>
              <w:bidi w:val="0"/>
              <w:spacing w:before="0" w:after="0"/>
              <w:jc w:val="left"/>
              <w:rPr/>
            </w:pPr>
            <w:hyperlink w:anchor="tTHCO">
              <w:r>
                <w:rPr>
                  <w:rStyle w:val="InternetLink"/>
                  <w:spacing w:val="4"/>
                </w:rPr>
                <w:t xml:space="preserve">THE COMPANY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THCO">
              <w:r>
                <w:rPr>
                  <w:rStyle w:val="InternetLink"/>
                  <w:spacing w:val="4"/>
                </w:rPr>
                <w:t>1</w:t>
              </w:r>
            </w:hyperlink>
            <w:hyperlink w:anchor="tTHC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37" w:type="dxa"/>
            <w:tcBorders/>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RIFA">
              <w:r>
                <w:rPr>
                  <w:rStyle w:val="InternetLink"/>
                  <w:spacing w:val="4"/>
                </w:rPr>
                <w:t>1</w:t>
              </w:r>
            </w:hyperlink>
            <w:hyperlink w:anchor="t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37"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2</w:t>
              </w:r>
            </w:hyperlink>
            <w:hyperlink w:anchor="t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37" w:type="dxa"/>
            <w:tcBorders/>
            <w:tcMar>
              <w:bottom w:w="0" w:type="dxa"/>
            </w:tcM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DOCS">
              <w:r>
                <w:rPr>
                  <w:rStyle w:val="InternetLink"/>
                  <w:spacing w:val="4"/>
                </w:rPr>
                <w:t>2</w:t>
              </w:r>
            </w:hyperlink>
            <w:hyperlink w:anchor="tDOC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37" w:type="dxa"/>
            <w:tcBorders/>
            <w:shd w:fill="CCEEFF" w:val="clear"/>
            <w:tcMar>
              <w:bottom w:w="0" w:type="dxa"/>
            </w:tcMar>
            <w:vAlign w:val="center"/>
          </w:tcPr>
          <w:p>
            <w:pPr>
              <w:pStyle w:val="TableContents"/>
              <w:bidi w:val="0"/>
              <w:spacing w:before="0" w:after="0"/>
              <w:jc w:val="left"/>
              <w:rPr/>
            </w:pPr>
            <w:hyperlink w:anchor="tDODS">
              <w:r>
                <w:rPr>
                  <w:rStyle w:val="InternetLink"/>
                  <w:spacing w:val="4"/>
                </w:rPr>
                <w:t xml:space="preserve">DESCRIPTION OF DEPOSITARY SHARES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DODS">
              <w:r>
                <w:rPr>
                  <w:rStyle w:val="InternetLink"/>
                  <w:spacing w:val="4"/>
                </w:rPr>
                <w:t>5</w:t>
              </w:r>
            </w:hyperlink>
            <w:hyperlink w:anchor="tDOD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37" w:type="dxa"/>
            <w:tcBorders/>
            <w:tcMar>
              <w:bottom w:w="0" w:type="dxa"/>
            </w:tcMar>
            <w:vAlign w:val="center"/>
          </w:tcPr>
          <w:p>
            <w:pPr>
              <w:pStyle w:val="TableContents"/>
              <w:bidi w:val="0"/>
              <w:spacing w:before="0" w:after="0"/>
              <w:jc w:val="left"/>
              <w:rPr/>
            </w:pPr>
            <w:hyperlink w:anchor="tDODS1">
              <w:r>
                <w:rPr>
                  <w:rStyle w:val="InternetLink"/>
                  <w:spacing w:val="4"/>
                </w:rPr>
                <w:t xml:space="preserve">DESCRIPTION OF DEBT SECURITIES AND GUARANTEES OF DEBT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DODS1">
              <w:r>
                <w:rPr>
                  <w:rStyle w:val="InternetLink"/>
                  <w:spacing w:val="4"/>
                </w:rPr>
                <w:t>6</w:t>
              </w:r>
            </w:hyperlink>
            <w:hyperlink w:anchor="tDODS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37" w:type="dxa"/>
            <w:tcBorders/>
            <w:shd w:fill="CCEEFF" w:val="clear"/>
            <w:tcMar>
              <w:bottom w:w="0" w:type="dxa"/>
            </w:tcMar>
            <w:vAlign w:val="center"/>
          </w:tcPr>
          <w:p>
            <w:pPr>
              <w:pStyle w:val="TableContents"/>
              <w:bidi w:val="0"/>
              <w:spacing w:before="0" w:after="0"/>
              <w:jc w:val="left"/>
              <w:rPr/>
            </w:pPr>
            <w:hyperlink w:anchor="tSEST">
              <w:r>
                <w:rPr>
                  <w:rStyle w:val="InternetLink"/>
                  <w:spacing w:val="4"/>
                </w:rPr>
                <w:t xml:space="preserve">SELLING STOCKHOLDERS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SEST">
              <w:r>
                <w:rPr>
                  <w:rStyle w:val="InternetLink"/>
                  <w:spacing w:val="4"/>
                </w:rPr>
                <w:t>16</w:t>
              </w:r>
            </w:hyperlink>
            <w:hyperlink w:anchor="tSE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37" w:type="dxa"/>
            <w:tcBorders/>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POD">
              <w:r>
                <w:rPr>
                  <w:rStyle w:val="InternetLink"/>
                  <w:spacing w:val="4"/>
                </w:rPr>
                <w:t>16</w:t>
              </w:r>
            </w:hyperlink>
            <w:hyperlink w:anchor="tP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37" w:type="dxa"/>
            <w:tcBorders/>
            <w:shd w:fill="CCEEFF" w:val="clear"/>
            <w:tcMar>
              <w:bottom w:w="0" w:type="dxa"/>
            </w:tcMar>
            <w:vAlign w:val="center"/>
          </w:tcPr>
          <w:p>
            <w:pPr>
              <w:pStyle w:val="TableContents"/>
              <w:bidi w:val="0"/>
              <w:spacing w:before="0" w:after="0"/>
              <w:jc w:val="left"/>
              <w:rPr/>
            </w:pPr>
            <w:hyperlink w:anchor="tVOTS">
              <w:r>
                <w:rPr>
                  <w:rStyle w:val="InternetLink"/>
                  <w:spacing w:val="4"/>
                </w:rPr>
                <w:t xml:space="preserve">VALIDITY OF THE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VOTS">
              <w:r>
                <w:rPr>
                  <w:rStyle w:val="InternetLink"/>
                  <w:spacing w:val="4"/>
                </w:rPr>
                <w:t>18</w:t>
              </w:r>
            </w:hyperlink>
            <w:hyperlink w:anchor="tVOT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37" w:type="dxa"/>
            <w:tcBorders/>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EXP">
              <w:r>
                <w:rPr>
                  <w:rStyle w:val="InternetLink"/>
                  <w:spacing w:val="4"/>
                </w:rPr>
                <w:t>18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Unless the context otherwise requires or as otherwise expressly stated, references in this prospectus to “Acuity,” the “Company,” “we,” “us” and “our” and similar terms refer to Acuity Inc. and its consolidated subsidiaries.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3" w:name="tATP"/>
      <w:bookmarkEnd w:id="3"/>
      <w:r>
        <w:rPr>
          <w:rFonts w:ascii="calibri;arial;sans-serif" w:hAnsi="calibri;arial;sans-serif"/>
          <w:b w:val="false"/>
          <w:i w:val="false"/>
          <w:caps w:val="false"/>
          <w:smallCaps w:val="false"/>
          <w:sz w:val="18"/>
          <w:shd w:fill="E5E4E2" w:val="clear"/>
        </w:rPr>
        <w:t>​</w:t>
      </w:r>
      <w:bookmarkStart w:id="4" w:name="tWYCF"/>
      <w:bookmarkEnd w:id="4"/>
      <w:r>
        <w:rPr>
          <w:rFonts w:ascii="calibri;arial;sans-serif" w:hAnsi="calibri;arial;sans-serif"/>
          <w:b w:val="false"/>
          <w:i w:val="false"/>
          <w:caps w:val="false"/>
          <w:smallCaps w:val="false"/>
          <w:sz w:val="18"/>
          <w:shd w:fill="E5E4E2" w:val="clear"/>
        </w:rPr>
        <w:t>​</w:t>
      </w:r>
      <w:bookmarkStart w:id="5" w:name="tIOCI"/>
      <w:bookmarkEnd w:id="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ABOUT THIS PROSPECTUS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is a part of an automatic shelf registration statement that we filed with the Securities and Exchange Commission (the “SEC”) as a “well-known seasoned issuer” as defined in Rule 405 of the Securities Act of 1933, as amended (the “Securities Act”), using a “shelf” registration process. Under this shelf registration process, we may sell any combination of the securities described in this prospectus in one or more offerings from time to time.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time we or the selling stockholders offer or sell securities pursuant to this prospectus, we or the selling stockholders will provide a prospectus supplement or other type of offering document or supplement (together referred to herein as a “prospectus supplement”) that will contain specific information about the terms of that offering. The prospectus supplement may also add, update or change information contained in this prospectus. Therefore, if there is any inconsistency between the information contained or incorporated by reference in this prospectus and the prospectus supplement, you should rely on the information in the prospectus supplement (including any information incorporated by reference therein). You should read this prospectus and the applicable prospectus supplement together with the additional information described under the heading “Where You Can Find More Information.”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registration statement that contains this prospectus, including the exhibits to the registration statement and the documents incorporated by reference herein, contain additional information about us and the securities offered under this prospectus. That registration statement can be read at the SEC website mentioned under the headings “Where You Can Find More Information” and “Incorporation of Certain Information by Reference.”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WHERE YOU CAN FIND MORE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file annual, quarterly and current reports, proxy statements and other information with the SEC. This prospectus, which forms a part of the registration statement, does not contain all the information that is included in the registration statement. Any statements made in this prospectus concerning the provisions of legal documents are not necessarily complete and you should read the documents that are filed as exhibits to the registration statement or otherwise filed with the SEC for a more complete understanding of the document or matter. Our SEC filings are available to the public over the Internet at the SEC website at www.sec.gov. Our SEC filings are also available on our website at https://investors.acuityinc.com/financials/sec-filings. You may access our Annual Reports on Form 10-K, Quarterly Reports on Form 10-Q, Current Reports on Form 8-K and amendments to those reports filed pursuant to Sections 13(a) or 15(d) of the Securities Exchange Act of 1934, as amended (the “Exchange Act”) with the SEC free of charge at our website as soon as reasonably practicable after such material is electronically filed with, or furnished to, the SEC.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for the information incorporated by reference as noted below, our website and the information contained on that site, or connected to that site, are not incorporated into and are not a part of this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INCORPORATION OF CERTAIN INFORMATION BY REFERENCE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SEC allows us to “incorporate by reference” the information we file with them, which means that we can disclose important information to you by referring you to those documents and those documents will be considered part of this prospectus. Information that we file later with the SEC will automatically update and supersede this information.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documents listed below and any future filings we make with the SEC under Sections 13(a), 13(c), 14 or 15(d) of the Exchange Act (other than portions of these documents deemed to be “furnished” or not deemed to be “filed,” including the portions of these documents that are either (1) described in paragraphs (d)(1), (d)(2), (d)(3) or (e)(5) of Item 407 of Regulation S-K promulgated by the SEC or (2) furnished under Item 2.02 or Item 7.01 of a Current Report on Form 8-K, including any exhibits included with such Items) prior to the termination of any offering of securities offered by this prospectus are incorporated by reference herein: </w:t>
      </w:r>
    </w:p>
    <w:p>
      <w:pPr>
        <w:pStyle w:val="TextBody"/>
        <w:bidi w:val="0"/>
        <w:spacing w:lineRule="atLeast" w:line="240" w:before="112" w:after="0"/>
        <w:ind w:left="2033" w:right="40" w:hanging="0"/>
        <w:jc w:val="left"/>
        <w:rPr/>
      </w:pPr>
      <w:hyperlink r:id="rId3">
        <w:r>
          <w:rPr>
            <w:rStyle w:val="InternetLink"/>
          </w:rPr>
          <w:t>Our Annual Report on Form 10-K, for the year ended August 31, 2026, filed with the SEC on October 23, 2026</w:t>
        </w:r>
      </w:hyperlink>
      <w:r>
        <w:rPr>
          <w:rFonts w:ascii="Times New Roman;Times;serif" w:hAnsi="Times New Roman;Times;serif"/>
          <w:b w:val="false"/>
          <w:i w:val="false"/>
          <w:caps w:val="false"/>
          <w:smallCaps w:val="false"/>
          <w:color w:val="000000"/>
          <w:spacing w:val="4"/>
          <w:sz w:val="20"/>
          <w:shd w:fill="FFFFFF" w:val="clear"/>
        </w:rPr>
        <w:t xml:space="preserve">; and </w:t>
      </w:r>
      <w:r>
        <mc:AlternateContent>
          <mc:Choice Requires="wps">
            <w:drawing>
              <wp:anchor behindDoc="0" distT="7112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6" w:name="tFOST"/>
      <w:bookmarkEnd w:id="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60"/>
        <w:ind w:left="20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The description of our capital stock contained in the Company’s Registration Statement on </w:t>
      </w:r>
      <w:hyperlink r:id="rId4">
        <w:r>
          <w:rPr>
            <w:rStyle w:val="InternetLink"/>
          </w:rPr>
          <w:t>Form 10</w:t>
        </w:r>
      </w:hyperlink>
      <w:r>
        <w:rPr>
          <w:rFonts w:ascii="Times New Roman;Times;serif" w:hAnsi="Times New Roman;Times;serif"/>
          <w:b w:val="false"/>
          <w:i w:val="false"/>
          <w:caps w:val="false"/>
          <w:smallCaps w:val="false"/>
          <w:color w:val="000000"/>
          <w:spacing w:val="4"/>
          <w:sz w:val="20"/>
          <w:shd w:fill="FFFFFF" w:val="clear"/>
        </w:rPr>
        <w:t xml:space="preserve"> filed on November 9, 2001, including all amendments or reports filed for the purpose of updating such description, including Exhibit 4(b) to the Annual Report on Form 10-K for the year ended August 31, 2026. </w:t>
      </w:r>
      <w:r>
        <mc:AlternateContent>
          <mc:Choice Requires="wps">
            <w:drawing>
              <wp:anchor behindDoc="0" distT="0" distB="0" distL="254000" distR="0" simplePos="0" locked="0" layoutInCell="1" allowOverlap="1" relativeHeight="20">
                <wp:simplePos x="0" y="0"/>
                <wp:positionH relativeFrom="column">
                  <wp:align>left</wp:align>
                </wp:positionH>
                <wp:positionV relativeFrom="line">
                  <wp:posOffset>635</wp:posOffset>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may request a copy of these filings (other than an exhibit to a filing unless that exhibit is specifically incorporated by reference into that filing), at no cost, by writing or calling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Acuity Inc.</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Attn: Corporate Secretary</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1170 Peachtree Street, N.E., Suite 1200</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Atlanta, Georgia 30309</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(404) 853-1400 </w:t>
      </w:r>
    </w:p>
    <w:p>
      <w:pPr>
        <w:pStyle w:val="TextBody"/>
        <w:bidi w:val="0"/>
        <w:spacing w:lineRule="atLeast" w:line="240" w:before="160" w:after="283"/>
        <w:ind w:left="1433"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We have not authorized anyone to provide any information other than that contained or incorporated by reference in this prospectus and any applicable prospectus supplement. We do not take any responsibility for, and can provide no assurance as to the reliability of, any other information that others may give you. We are only offering these securities in jurisdictions where the offer and sale is permitted. You should not assume that the information in this prospectus is accurate as of any date other than the date on the front of this document and that any information incorporated by reference herein is accurate only as of the date of the document containing such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FORWARD-LOOKING STATEMENTS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This prospectus, any accompanying prospectus supplement and the documents incorporated by reference herein and therein may contain “forward-looking statements” within the meaning of Section 27A of the Securities Act, and Section 21E of the Exchange Act, pursuant to the safe harbor provisions of the Private Securities Litigation Reform Act of 1995 (the “Act”). Forward-looking statements include, but are not limited to, statements that describe or relate to the Company’s plans, initiatives, projections, vision, goals, targets, commitments, expectations, objectives, prospects, strategies or financial outlook, and the assumptions underlying or relating thereto. In some cases, we may use words such as “expect,” “believe,” “intend,” “anticipate,” “estimate,” “forecast,” “indicate,” “project,” “predict,” “plan,” “may,” “will,” “could,” “should,” “would,” “potential,” and words of similar meaning, as well as other words or expressions referencing future events, conditions, or circumstances, to identify forward-looking statements. We intend these forward-looking statements to be covered by the safe harbor provisions for forward-looking statements contained in the Act. Forward-looking statements are not guarantees of future performance. Our forward-looking statements are based on our current beliefs, expectations, and assumptions, which may not prove to be accurate, and are subject to known and unknown risks and uncertainties, assumptions, and other important factors, many of which are outside of our control and any of which could cause our actual results to differ materially from those expressed or implied by the forward-looking statements. These risks and uncertainties are discussed in our filings with the U.S. Securities and Exchange Commission, including our most recent annual report on Form 10-K (including, but not limited to, the sections titled “Risk Factors” and “Management’s Discussion and Analysis of Financial Condition and Results of Operations”), quarterly reports on Form 10-Q, and current reports on Form 8-K. Any forward-looking statement speaks only as of the date on which it is made. This prospectus is not comprehensive and, for that reason, should be read in conjunction with such filings. You are cautioned not to place undue reliance on any forward-looking statements. Except as required by law, we undertake no obligation to publicly update or release any revisions to these forward-looking statements to reflect any events or circumstances after the date they were made or to reflect the occurrence of unanticipated events, whether as a result of new information, future events, or otherwise. You should read this prospectus, any accompanying prospectus supplement and the documents that are referenced and which have been incorporated by reference herein and therein, completely and with the understanding that our actual future results may be materially different from what we expect. All forward-looking statements are qualified by these cautionary statements.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7" w:name="tTHCO"/>
      <w:bookmarkEnd w:id="7"/>
      <w:r>
        <w:rPr>
          <w:rFonts w:ascii="calibri;arial;sans-serif" w:hAnsi="calibri;arial;sans-serif"/>
          <w:b w:val="false"/>
          <w:i w:val="false"/>
          <w:caps w:val="false"/>
          <w:smallCaps w:val="false"/>
          <w:sz w:val="18"/>
          <w:shd w:fill="E5E4E2" w:val="clear"/>
        </w:rPr>
        <w:t>​</w:t>
      </w:r>
      <w:bookmarkStart w:id="8" w:name="tRIFA"/>
      <w:bookmarkEnd w:id="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COMPANY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Acuity Inc.</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Acuity Inc. is a market-leading industrial technology company. We use technology to solve problems in spaces, light, and more things to come. Through our two business segments, Acuity Brands Lighting and Acuity Intelligent Spaces, we design, manufacture, and bring to market products and services that make a valuable difference in people’s lives. We achieve growth through the development of innovative new products and services, including lighting, lighting controls, building management solutions, and an audio, video and control platform. We focus on customer outcomes and drive growth and productivity to increase market share and deliver superior returns. We look to aggressively deploy capital to grow the business and to enter attractive new verticals.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common stock is listed on the New York Stock Exchange under the ticker symbol “AYI.” Our principal executive offices are located at 1170 Peachtree Street, N.E., Suite 1200, Atlanta, Georgia 30309, and our telephone number is (404) 853-1400. We maintain a website at www.acuityinc.com. Information that you may find on this website is not part of or incorporated into this prospectus or any prospectus supplement.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Additional information about us is included in our reports and other documents incorporated by reference in this prospectus. See “Incorporation of Certain Information by Reference.”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Acuity Brands Lighting, Inc.</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Acuity Brands Lighting, Inc. is a direct, wholly owned subsidiary of Acuity Inc. Acuity Brands Lighting, Inc. is a Delaware corporation with principal executive offices located at 1170 Peachtree Street, N.E., Suite 1200, Atlanta, Georgia 30309, and its telephone number is (404) 853-1400.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Acuity Intelligent Spaces Inc.</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Acuity Intelligent Spaces Inc. is a direct, wholly owned subsidiary of Acuity Inc. Acuity Intelligent Spaces Inc. is a Delaware corporation with principal executive offices located at 1170 Peachtree Street, N.E., Suite 1200, Atlanta, Georgia 30309, and its telephone number is (404) 853-1400.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QSC, LLC</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QSC, LLC is a direct, wholly owned subsidiary of Acuity Intelligent Spaces Inc. QSC, LLC is a California limited liability company with principal executive offices located at 1675 MacArthur Blvd., Costa Mesa, California 92626, and its telephone number is (404) 853-1400.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ABL IP Holding LLC</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ABL IP Holding LLC is a direct, wholly owned subsidiary of Acuity Brands Lighting, Inc. ABL IP Holding LLC is a Georgia limited liability company with principal executive offices located at 1170 Peachtree Street, N.E., Suite 1200, Atlanta, Georgia 30309, and its telephone number is (404) 853-1400.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 FACTORS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Investing in our securities involves risk. Before you decide whether to purchase any of our securities, in addition to the other information, documents, or reports included in or incorporated by reference into this prospectus and any accompanying prospectus supplement or other offering materials, you should carefully consider the risk factors in the section entitled “Risk Factors” in any prospectus supplement as well as our most recent Annual Report on Form 10-K and the other reports we file with the SEC, which are incorporated by reference into this prospectus and any prospectus supplement in their entirety, as the same may be amended, supplemented, or superseded from time to time by our filings under the Exchange Act. For more information, see the section entitled “Where You Can Find More Information.” The risks and uncertainties described in our SEC filings are not the only ones facing us. Additional risks and uncertainties not presently known to us, or that we currently see as immaterial, may also harm our business. If any such risks and uncertainties actually occur, our business, financial condition, results of operations, cash flows and prospects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9" w:name="tUOP"/>
      <w:bookmarkEnd w:id="9"/>
      <w:r>
        <w:rPr>
          <w:rFonts w:ascii="calibri;arial;sans-serif" w:hAnsi="calibri;arial;sans-serif"/>
          <w:b w:val="false"/>
          <w:i w:val="false"/>
          <w:caps w:val="false"/>
          <w:smallCaps w:val="false"/>
          <w:sz w:val="18"/>
          <w:shd w:fill="E5E4E2" w:val="clear"/>
        </w:rPr>
        <w:t>​</w:t>
      </w:r>
      <w:bookmarkStart w:id="10" w:name="tDOCS"/>
      <w:bookmarkEnd w:id="1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could be materially and adversely affected, the market price of our securities could decline, and you could lose all or part of your investment.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USE OF PROCEEDS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we state otherwise in the applicable prospectus supplement, we intend to use the net proceeds from the sale of the securities to which this prospectus relates for general corporate purposes. Until we apply the proceeds from the sale of the securities, we may temporarily invest any proceeds that are not immediately applied to the above purposes in United States government or agency obligations, commercial paper, money market accounts, short-term marketable debt securities, bank deposits or certificates of deposit, repurchase agreements collateralized by United States government or agency obligations or other short-term investments.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CAPITAL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summary of certain terms of our capital stock describes material provisions of, but does not purport to be complete and is subject to, and qualified in its entirety by, our Restated Certificate of Incorporation (as amended, the “Certificate of Incorporation”) and our Amended and Restated Bylaws (the “Bylaws”), which are included as exhibits to this registration statement, as well as the relevant portions of the Delaware General Corporation Law (“DGCL”).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Authorized Capital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our Certificate of Incorporation, the total number of shares of all classes of stock that we have the authority to issue is 550,000,000, of which 500,000,000 are shares of common stock, par value $.01 per share, and 50,000,000 are shares of preferred stock, par value $.01 per share. Our outstanding shares are fully paid and non-assessable. Holders of shares of our common stock do not have subscription, redemption, or conversion rights. There are no sinking fund provisions applicable to our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Voting Rights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holders of our common stock are entitled to one vote for each share on all matters voted on by stockholders, and the holders of such shares will possess all voting power, except as otherwise required by law or provided in any resolution adopted by our Board of Directors (the “Board”) with respect to any series of our preferred stock. There are no cumulative voting rights. Accordingly, the holders of a majority of the common stock voting for the election of directors in an uncontested election can elect all of the directors, if they choose to do so, subject to any rights of the holders of preferred stock to elect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Dividend Rights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any preferential or other rights of any outstanding series of our preferred stock that may be designated by the Board, the holders of the common stock are entitled to receive ratably any dividends as may be declared from time to time by the Board from funds available.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Liquidation Rights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any preferential or other rights of any outstanding series of our preferred stock that may be designated by the Board, upon liquidation, holders of our common stock are entitled to receive pro rata all of our assets available for distribution to such 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 Preemptive Rights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holder of any of our stock of any class has any preemptive right to subscribe to any securities of Acuity of any kind or class.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Transfer Agent and Registrar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Transfer Agent and Registrar is Computershare Trust Company N.A.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Preferred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Board is authorized without further stockholder approval (except as may be required by applicable law or New York Stock Exchange regulations) to provide for the issuance of shares of preferred stock, in one or more series, and to fix for each such series such voting powers, designations, preferences and relative, participating, optional and other special rights, and such qualifications, limitations or restrictions, as are stated in the resolution adopted by the Board providing for the issuance of such series and as are permitted by the DGCL. The terms and rights of any such series may include: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designation of the series; </w:t>
      </w:r>
      <w:r>
        <mc:AlternateContent>
          <mc:Choice Requires="wps">
            <w:drawing>
              <wp:anchor behindDoc="0" distT="7493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number of shares of the series, which number the Board may thereafter, except where otherwise provided in the applicable certificate of designation, increase or decrease, but not below the number of shares thereof then outstanding; </w:t>
      </w:r>
      <w:r>
        <mc:AlternateContent>
          <mc:Choice Requires="wps">
            <w:drawing>
              <wp:anchor behindDoc="0" distT="7493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dividend rights; </w:t>
      </w:r>
      <w:r>
        <mc:AlternateContent>
          <mc:Choice Requires="wps">
            <w:drawing>
              <wp:anchor behindDoc="0" distT="7493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liquidation preferences;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redemption rights;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sinking fund terms;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conversion rights;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voting rights; and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other relative rights, preferences and limitations of such series.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Should the Board elect to exercise this authority, the rights and privileges of holders of shares of the Company’s common stock could be made subject to the rights and privileges of any such series of preferred stock. Presently, we have no plans to issue any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Certain Anti-takeover Provisions of Our Certificate of Incorporation, Bylaws and Delaware Law</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Certificate of Incorporation, Bylaws, and the DGCL contain certain provisions that could delay or make more difficult an acquisition of control of Acuity not approved by the Board, whether by means of a tender offer, open market purchases, a proxy contest, or otherwise. These provisions, which are summarized below, could have the effect of discouraging third parties from making proposals involving an acquisition or change of control of Acuity, although such a proposal, if made, might be considered desirable by a majority of our stockholders.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Election of Directors</w:t>
      </w:r>
      <w:r>
        <w:rPr>
          <w:rFonts w:ascii="Times New Roman;Times;serif" w:hAnsi="Times New Roman;Times;serif"/>
          <w:b w:val="false"/>
          <w:i w:val="false"/>
          <w:caps w:val="false"/>
          <w:smallCaps w:val="false"/>
          <w:color w:val="000000"/>
          <w:spacing w:val="4"/>
          <w:sz w:val="20"/>
          <w:shd w:fill="FFFFFF" w:val="clear"/>
        </w:rPr>
        <w:t xml:space="preserve">.   Any vacancy on the Board, however occurring, including a vacancy resulting from an increase in the size of the Board (other than vacancies and newly created directorships which the holders of any class or classes of stock are expressly entitled by the Certificate of Incorporation to fill), may only be filled by the affirmative vote of a majority of our directors then in office, even if less than a quorum, or by the sole remaining director (and not by stockholders). This system of electing directors generally makes it more difficult for stockholders to replace a majority of our directors.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Stockholder Action, Advance Notification of Stockholder Nominations, and Proposals</w:t>
      </w:r>
      <w:r>
        <w:rPr>
          <w:rFonts w:ascii="Times New Roman;Times;serif" w:hAnsi="Times New Roman;Times;serif"/>
          <w:b w:val="false"/>
          <w:i w:val="false"/>
          <w:caps w:val="false"/>
          <w:smallCaps w:val="false"/>
          <w:color w:val="000000"/>
          <w:spacing w:val="4"/>
          <w:sz w:val="20"/>
          <w:shd w:fill="FFFFFF" w:val="clear"/>
        </w:rPr>
        <w:t xml:space="preserve">.   Our Certificate of Incorporation provides that stockholder action may be taken only at an annual or special meeting of stockholders and that stockholders may not act by written consent. Our Certificate of Incorporation and Bylaws provide that special meetings of stockholders may be called only by resolution adopted by the whole Board. Stockholders are not permitted to call a special meeting or to require the Board to call a special meeting of stockholders.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Bylaws establish advance notice procedures for stockholder proposals to be brought before any annual or special meeting of stockholders and for nominations by stockholders of candidates for election as directors at an annual meeting or a special meeting at which directors are to be elected. Subject to any other applicable requirements,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120 days prior to the first anniversary of the preceding year’s annual meeting of stockholders. Our Bylaws also specify requirements as to the form and content of a stockholder’s notice.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These provisions could have the effect of delaying until the next stockholder meeting any stockholder actions, even if they are favored by the holders of a majority of our outstanding voting securities.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Authorized but Unissued Capital Stock</w:t>
      </w:r>
      <w:r>
        <w:rPr>
          <w:rFonts w:ascii="Times New Roman;Times;serif" w:hAnsi="Times New Roman;Times;serif"/>
          <w:b w:val="false"/>
          <w:i w:val="false"/>
          <w:caps w:val="false"/>
          <w:smallCaps w:val="false"/>
          <w:color w:val="000000"/>
          <w:spacing w:val="4"/>
          <w:sz w:val="20"/>
          <w:shd w:fill="FFFFFF" w:val="clear"/>
        </w:rPr>
        <w:t xml:space="preserve">.   The authorized but unissued shares of our common stock and preferred stock will be available for future issuance without any further vote or action by our stockholders. These additional shares may be utilized for a variety of corporate purposes, including future public offerings to raise additional capital, corporate acquisitions, and employee benefit plans. The existence of authorized but unissued shares of our common stock and our preferred stock could render more difficult or discourage an attempt to obtain control over us by means of a proxy contest, tender offer, merger, or otherwise. For example, if in the due exercise of its fiduciary obligations, the Board were to determine that a takeover proposal is not in the best interests of us or our stockholders, the Board could cause shares of preferred stock to be issued without stockholder approval in one or more private offerings or other transactions that might dilute the voting or other rights of the proposed acquirer or insurgent stockholder or stockholder group.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Amendment to Certificate of Incorporation and Bylaws</w:t>
      </w:r>
      <w:r>
        <w:rPr>
          <w:rFonts w:ascii="Times New Roman;Times;serif" w:hAnsi="Times New Roman;Times;serif"/>
          <w:b w:val="false"/>
          <w:i w:val="false"/>
          <w:caps w:val="false"/>
          <w:smallCaps w:val="false"/>
          <w:color w:val="000000"/>
          <w:spacing w:val="4"/>
          <w:sz w:val="20"/>
          <w:shd w:fill="FFFFFF" w:val="clear"/>
        </w:rPr>
        <w:t xml:space="preserve">.   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 Our Bylaws may be amended or repealed by a majority vote of the Board or, in addition to any other vote otherwise required by law, the holders of at least a majority of the voting power of all of the then outstanding shares of the capital stock entitled to vote generally in the election of directors, voting together as a single class.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Additionally, the approval by holders of at least a majority of the voting power of all of the then outstanding shares of the capital stock entitled to vote on such matter, voting together as a single class, is required to amend or repeal or to adopt any provision inconsistent with Article V, Article VII, Article VIII, Article X or Article XI of our Certificate of Incorporation. These provisions may have the effect of deferring, delaying, or discouraging the removal of any anti-takeover defenses provided for in our Certificate of Incorporation and our Bylaws.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No Cumulative Voting</w:t>
      </w:r>
      <w:r>
        <w:rPr>
          <w:rFonts w:ascii="Times New Roman;Times;serif" w:hAnsi="Times New Roman;Times;serif"/>
          <w:b w:val="false"/>
          <w:i w:val="false"/>
          <w:caps w:val="false"/>
          <w:smallCaps w:val="false"/>
          <w:color w:val="000000"/>
          <w:spacing w:val="4"/>
          <w:sz w:val="20"/>
          <w:shd w:fill="FFFFFF" w:val="clear"/>
        </w:rPr>
        <w:t xml:space="preserve">.   The DGCL provides that stockholders are not entitled to the right to cumulate votes in the election of directors unless our Certificate of Incorporation provides otherwise.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Delaware Takeover Statute</w:t>
      </w:r>
      <w:r>
        <w:rPr>
          <w:rFonts w:ascii="Times New Roman;Times;serif" w:hAnsi="Times New Roman;Times;serif"/>
          <w:b w:val="false"/>
          <w:i w:val="false"/>
          <w:caps w:val="false"/>
          <w:smallCaps w:val="false"/>
          <w:color w:val="000000"/>
          <w:spacing w:val="4"/>
          <w:sz w:val="20"/>
          <w:shd w:fill="FFFFFF" w:val="clear"/>
        </w:rPr>
        <w:t xml:space="preserve">.   We are subject to the provisions of Section 203 of the DGCL and have adopted additional provisions in our Certificate of Incorporation for the approval, adoption, or authorization of business combinations.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Section 203 defines a business combination to include: </w:t>
      </w:r>
    </w:p>
    <w:p>
      <w:pPr>
        <w:pStyle w:val="TextBody"/>
        <w:bidi w:val="0"/>
        <w:spacing w:lineRule="atLeast" w:line="240" w:before="13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merger or consolidation involving the corporation and the interested stockholder; </w:t>
      </w:r>
      <w:r>
        <mc:AlternateContent>
          <mc:Choice Requires="wps">
            <w:drawing>
              <wp:anchor behindDoc="0" distT="8382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sale, transfer, lease, pledge, exchange, mortgage or other disposition involving the interested stockholder of 10% or more of the assets of the corporation; </w:t>
      </w:r>
      <w:r>
        <mc:AlternateContent>
          <mc:Choice Requires="wps">
            <w:drawing>
              <wp:anchor behindDoc="0" distT="889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exceptions, any transaction that results in the issuance or transfer by the corporation of any stock of the corporation to the interested stockholder; </w:t>
      </w:r>
      <w:r>
        <mc:AlternateContent>
          <mc:Choice Requires="wps">
            <w:drawing>
              <wp:anchor behindDoc="0" distT="889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exceptions, any transaction involving the corporation that has the effect of increasing the proportionate share of the stock of any class or series of the corporation beneficially owned by the interested stockholder; or </w:t>
      </w:r>
      <w:r>
        <mc:AlternateContent>
          <mc:Choice Requires="wps">
            <w:drawing>
              <wp:anchor behindDoc="0" distT="889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4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receipt by the interested stockholder of the benefit of any loans, advances, guarantees, pledges, or other financial benefits provided by or through the corporation. </w:t>
      </w:r>
      <w:r>
        <mc:AlternateContent>
          <mc:Choice Requires="wps">
            <w:drawing>
              <wp:anchor behindDoc="0" distT="889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1" w:name="tDODS"/>
      <w:bookmarkEnd w:id="1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general, Section 203 defines an “interested stockholder” as any entity or person beneficially owning 15% or more of the outstanding voting stock of the corporation and any entity or person affiliated with or controlling or controlled by the entity or person.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our Certificate of Incorporation, a “business combination” with an “interested person” requires the affirmative vote or consent of the holders of a majority of the shares of stock entitled to vote in elections of directors, which are not beneficially owned, directly or indirectly, by such interested person. This voting requirement will not be applicable if certain conditions described in our Certificate of Incorporation are met with respect to a particular business combination.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Certificate of Incorporation defines a “business combination” as (a) any merger or consolidation of Acuity Inc. or any of its subsidiaries with or into any interested person (regardless of the identity of the surviving corporation); (b) any sale, lease, or other disposition of all or any substantial part of the assets of Acuity Inc. or any of its subsidiaries to any interested person for cash or securities or both; or (c) any issuance or delivery of securities of Acuity Inc. or any of its subsidiaries (which the beneficial owner shall have the right to vote, or to vote upon exercise, conversion, or by contract) to an interested person in consideration for or in exchange of any securities or other property (including cash).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“interested person” is defined in our Certificate of Incorporation as any person who beneficially owns, directly or indirectly, 5% or more of the shares of stock of Acuity Inc. entitled to vote in elections of directors at the relevant record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Limitations of Liability and Indemnification Matters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Certificate of Incorporation includes a provision that eliminates the personal liability of our directors and officers to the fullest extent permitted by applicable law, and our Bylaws provide that we will indemnify, and advance expenses to, our directors and officers to the fullest extent permitted by such law. We have also entered into indemnification agreements with our current directors and executive officers and expect to enter into a similar agreement with any new director or executive officer.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Exclusive Forum</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Bylaws provide that, unless we consent in writing to the selection of an alternative forum, the Court of Chancery of the State of Delaware (or, if the Court of Chancery does not have jurisdiction, the federal district court for the District of Delaware) will, to the fullest extent permitted by law, be the sole and exclusive forum for any derivative action or proceeding brought on our behalf, any action or proceeding asserting a claim for breach of a fiduciary duty owed by any of our directors, officers, employees, or stockholders to us or our stockholders, any action or proceeding asserting a claim arising pursuant to any provision of the DGCL, our Certificate of Incorporation or Bylaws, or as to which the DGCL confers jurisdiction on the Court of Chancery of the State of Delaware, or any action asserting a claim governed by the internal affairs doctrine. In addition, our Bylaws also provide that, unless we consent in writing to the selection of an alternative forum, the federal district courts of the United States of America will be the exclusive forum for the resolution of any complaint asserting a cause or causes of action arising under the Securities Act. The exclusive forum provision in our Bylaws does not apply to suits brought to enforce any duty or liability created by the Exchange Act or any other claim for which the federal courts have exclusive jurisdiction. The enforceability of similar choice of forum provisions in other companies’ certificates of incorporation and bylaws has been challenged in legal proceedings, and it is possible that, in connection with claims arising under federal securities laws or otherwise, a court could find the exclusive forum provision contained in our Bylaws to be inapplicable or unenforceable.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DEPOSITARY SHARES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issue depositary shares representing fractional interests in shares of our preferred stock of any series. The following description sets forth certain general terms and provisions of the depositary shares to which any prospectus supplement may relate. The particular terms of the depositary shares to which any prospectus supplement may relate and the extent, if any, to which the general terms and provisions may apply to the depositary shares so offered will be described in the applicable prospectus supplement. To the extent that any particular terms of the depositary shares, depositary agreements and depositary receipts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2" w:name="tDODS1"/>
      <w:bookmarkEnd w:id="1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described in a prospectus supplement differ from any of the terms described below, then the terms described below will be deemed to have been superseded by that prospectus supplement. We encourage you to read the applicable depositary agreement and depositary receipts for additional information before you decide whether to purchase any of our depositary shares.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the issuance of any depositary shares, we will enter into a depositary agreement with a bank or trust company, as depositary, which will be named in the applicable prospectus supplement. Depositary shares will be evidenced by depositary receipts issued pursuant to the related depositary agreement. Immediately following our issuance of the security related to the depositary shares, we will deposit the shares of our preferred stock with the relevant depositary and will cause the depositary to issue, on our behalf, the related depositary receipts. Subject to the terms of the depositary agreement, each owner of a depositary receipt will be entitled, in proportion to the fractional interest in the share of preferred stock represented by the related depositary share, to all the rights, preferences and privileges of, and will be subject to all of the limitations and restrictions on, the preferred stock represented by the depositary receipt (including, if applicable, dividend, voting, conversion, exchange, redemption, sinking fund, subscription and liquidation rights).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DEBT SECURITIES</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shd w:fill="FFFFFF" w:val="clear"/>
        </w:rPr>
        <w:t>AND GUARANTEES OF DEBT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description of the terms of the debt securities sets forth certain general terms and provisions of the debt securities and guarantees thereof, if any, to which any prospectus supplement may relate. The particular terms of any debt securities offered and guarantees thereof, if any, and the extent, if any, to which such general provisions may apply to such offered debt securities will be described in the prospectus supplement relating to such offered debt securities.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References to Acuity Inc. and Acuity Brands Lighting, Inc. in this description refer only to Acuity Inc. and Acuity Brands Lighting, Inc., respectively, and not to any of their respective subsidiaries. In this section, “Description of Debt Securities and Guarantees of Debt Securities,” Acuity Inc. and Acuity Brands Lighting, Inc. are collectively referred to as the “issuers” and each may be referred to as an “issuer.” Each of the issuers may offer debt securities using this prospectus, and references to the issuers in this description do not, unless the context otherwise indicates, include any of their respective subsidiaries. Acuity Brands Lighting, Inc., Acuity Intelligent Spaces Inc., QSC, LLC and ABL IP Holding LLC (collectively, the “Acuity guarantors”) may act as the guarantors of debt securities issued by Acuity Inc. using this prospectus. Acuity Inc. and ABL IP Holding LLC (collectively, the “Acuity Brands Lighting guarantors” and, together with the Acuity guarantors, the “guarantors”) may act as the guarantors of debt securities issued by Acuity Brands Lighting, Inc. using this prospectus.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Acuity Inc. will issue debt securities under the indenture (the “Acuity indenture”), dated as of July 28, 2025, between Acuity Inc., the Acuity guarantors and U.S. Bank Trust Company, National Association, as trustee. Acuity Brands Lighting, Inc. will issue debt securities under the indenture (the “Acuity Brands Lighting indenture”), dated as of November 10, 2020, between the Company and U.S. Bank Trust Company, National Association, as successor to U.S. Bank National Association, as trustee. We refer to the Acuity indenture and the Acuity Brands Lighting indenture, collectively, as the “indentures” and to each as an “indenture.” We refer to the trustee under the indentures as the “trustee.” In addition, the indentures may be supplemented and amended as necessary to set forth the terms of the debt securities issued under the indentures. The indentures have been filed as exhibits to the registration statement of which this prospectus forms a part. The following summary of certain general provisions of the indentures and the debt securities does not purport to be complete and is subject to, and is qualified in its entirety by reference to, the provisions of the indentures, including any amendments or supplements and the definitions therein of certain terms. You should read the indentures, including any amendments or supplements, carefully to understand the terms of the debt securities. Unless otherwise defined herein, all capitalized terms in this section have the definitions ascribed to such terms in the applicable indenture. The terms of any supplemental indenture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entered into or officer’s certificate delivered in connection with a particular issuance of debt securities will be described in the prospectus supplement relating to such offered debt securities. The indentures are subject to, and are governed by, the Trust Indenture Act of 1939, as amended (the “Trust Indenture Act”).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References to “holders” in this section mean those who own debt securities registered in their own names, on the books that we or the applicable trustee maintain for this purpose, and not those who own beneficial interests in debt securities registered in street name or in debt securities issued in book-entry form through one or more depositaries.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General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indentures do not limit the aggregate principal amount of debt securities that may be issued thereunder. The debt securities may be issued from time to time in one or more series. Unless otherwise indicated in the prospectus supplement relating thereto, the debt securities will be unsecured and will rank </w:t>
      </w:r>
      <w:r>
        <w:rPr>
          <w:rFonts w:ascii="Times New Roman;Times;serif" w:hAnsi="Times New Roman;Times;serif"/>
          <w:b w:val="false"/>
          <w:i/>
          <w:caps w:val="false"/>
          <w:smallCaps w:val="false"/>
          <w:color w:val="000000"/>
          <w:spacing w:val="4"/>
          <w:sz w:val="20"/>
          <w:shd w:fill="FFFFFF" w:val="clear"/>
        </w:rPr>
        <w:t>pari passu</w:t>
      </w:r>
      <w:r>
        <w:rPr>
          <w:rFonts w:ascii="Times New Roman;Times;serif" w:hAnsi="Times New Roman;Times;serif"/>
          <w:b w:val="false"/>
          <w:i w:val="false"/>
          <w:caps w:val="false"/>
          <w:smallCaps w:val="false"/>
          <w:color w:val="000000"/>
          <w:spacing w:val="4"/>
          <w:sz w:val="20"/>
          <w:shd w:fill="FFFFFF" w:val="clear"/>
        </w:rPr>
        <w:t xml:space="preserve"> with all other existing and future unsecured and unsubordinated indebtedness of the applicable issuer. Accordingly, your ownership of debt securities means you are one of the applicable issuer’s unsecured creditors. The indenture does not limit the amount of other indebtedness or securities that may be issued by issuers.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Debt securities of a series will be issued in registered form (“Registered Securities”) as specified in the terms of the series. Debt securities of a series may be issued in whole or in part in the form of one or more global securities (“Global Securities”) registered in the name of a depository or its nominee and, in such case, beneficial interests in the Global Securities will be shown on, and transfers thereof will be effected only through, records maintained by the designated depository and its participants.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Reference is made to the prospectus supplement relating to the particular series of debt securities offered thereby for the terms of the offered debt securities, including: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title of the debt securities; </w:t>
      </w:r>
      <w:r>
        <mc:AlternateContent>
          <mc:Choice Requires="wps">
            <w:drawing>
              <wp:anchor behindDoc="0" distT="7366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aggregate principal amount; </w:t>
      </w:r>
      <w:r>
        <mc:AlternateContent>
          <mc:Choice Requires="wps">
            <w:drawing>
              <wp:anchor behindDoc="0" distT="635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issue price expressed as a percentage of the aggregate principal amount; </w:t>
      </w:r>
      <w:r>
        <mc:AlternateContent>
          <mc:Choice Requires="wps">
            <w:drawing>
              <wp:anchor behindDoc="0" distT="635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date or dates of maturity or the method of determination thereof; </w:t>
      </w:r>
      <w:r>
        <mc:AlternateContent>
          <mc:Choice Requires="wps">
            <w:drawing>
              <wp:anchor behindDoc="0" distT="635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interest rate or rates (which may be fixed or floating) per annum, if any, or the method by which such interest rate or rates will be determined; </w:t>
      </w:r>
      <w:r>
        <mc:AlternateContent>
          <mc:Choice Requires="wps">
            <w:drawing>
              <wp:anchor behindDoc="0" distT="635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date or dates any interest will commence accruing and be payable and the record dates for any interest payments; </w:t>
      </w:r>
      <w:r>
        <mc:AlternateContent>
          <mc:Choice Requires="wps">
            <w:drawing>
              <wp:anchor behindDoc="0" distT="635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place or places where principal and any interest or premium will be paid; </w:t>
      </w:r>
      <w:r>
        <mc:AlternateContent>
          <mc:Choice Requires="wps">
            <w:drawing>
              <wp:anchor behindDoc="0" distT="6350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the identity of the guarantors and the terms of the guarantees with respect to the debt securities; </w:t>
      </w:r>
      <w:r>
        <mc:AlternateContent>
          <mc:Choice Requires="wps">
            <w:drawing>
              <wp:anchor behindDoc="0" distT="635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dates and redemption prices relating to any optional or mandatory redemption and other terms and conditions of any optional or mandatory redemptions; </w:t>
      </w:r>
      <w:r>
        <mc:AlternateContent>
          <mc:Choice Requires="wps">
            <w:drawing>
              <wp:anchor behindDoc="0" distT="635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optional or mandatory sinking fund or analogous provisions; </w:t>
      </w:r>
      <w:r>
        <mc:AlternateContent>
          <mc:Choice Requires="wps">
            <w:drawing>
              <wp:anchor behindDoc="0" distT="635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denominations of the debt securities if other than denominations of $2,000 and any higher integral multiples of $1,000; </w:t>
      </w:r>
      <w:r>
        <mc:AlternateContent>
          <mc:Choice Requires="wps">
            <w:drawing>
              <wp:anchor behindDoc="0" distT="635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portion of the principal amount payable on declaration of acceleration of maturity or provable in bankruptcy, if other than the principal amount; </w:t>
      </w:r>
      <w:r>
        <mc:AlternateContent>
          <mc:Choice Requires="wps">
            <w:drawing>
              <wp:anchor behindDoc="0" distT="635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and under what circumstances any additional amounts with respect to the debt securities will be payable; </w:t>
      </w:r>
      <w:r>
        <mc:AlternateContent>
          <mc:Choice Requires="wps">
            <w:drawing>
              <wp:anchor behindDoc="0" distT="635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paying agents, transfer agents, registrars or other agents for a series of debt securities; </w:t>
      </w:r>
      <w:r>
        <mc:AlternateContent>
          <mc:Choice Requires="wps">
            <w:drawing>
              <wp:anchor behindDoc="0" distT="635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currency or currencies, including composite currencies, of payment of the principal of (and premium, if any) and interest (if any) on the debt securities if other than the currency of the United States of America; </w:t>
      </w:r>
      <w:r>
        <mc:AlternateContent>
          <mc:Choice Requires="wps">
            <w:drawing>
              <wp:anchor behindDoc="0" distT="635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the terms and conditions upon which the debt securities may be repayable prior to final maturity at the option of the holder thereof (which option may be conditional); </w:t>
      </w:r>
      <w:r>
        <mc:AlternateContent>
          <mc:Choice Requires="wps">
            <w:drawing>
              <wp:anchor behindDoc="0" distT="0" distB="0" distL="254000" distR="0" simplePos="0" locked="0" layoutInCell="1" allowOverlap="1" relativeHeight="50">
                <wp:simplePos x="0" y="0"/>
                <wp:positionH relativeFrom="column">
                  <wp:align>left</wp:align>
                </wp:positionH>
                <wp:positionV relativeFrom="line">
                  <wp:posOffset>635</wp:posOffset>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principal of (and premium, if any) or interest, if any, are to be payable, at the election of the applicable issuer or any holder thereof, in a currency other than that in which the debt securities are stated to be payable, the period or periods within which, and the terms and conditions on which, such election may be made; </w:t>
      </w:r>
      <w:r>
        <mc:AlternateContent>
          <mc:Choice Requires="wps">
            <w:drawing>
              <wp:anchor behindDoc="0" distT="6477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debt securities are to be denominated in a currency or currencies, including composite currencies, other than the currency of the United States of America, the equivalent price in the currency of the United States of America for purposes of determining the voting rights of holders of the debt securities as outstanding securities under the applicable indenture; </w:t>
      </w:r>
      <w:r>
        <mc:AlternateContent>
          <mc:Choice Requires="wps">
            <w:drawing>
              <wp:anchor behindDoc="0" distT="635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amount of payments of principal of (and premium, if any), or portions thereof, or interest, if any, on the debt securities, may be determined with reference to an index, formula or other method, the manner of determining such amounts; </w:t>
      </w:r>
      <w:r>
        <mc:AlternateContent>
          <mc:Choice Requires="wps">
            <w:drawing>
              <wp:anchor behindDoc="0" distT="635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such debt securities are to be issued in temporary or permanent global form; </w:t>
      </w:r>
      <w:r>
        <mc:AlternateContent>
          <mc:Choice Requires="wps">
            <w:drawing>
              <wp:anchor behindDoc="0" distT="635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restrictions or other provisions relating to the transfer or exchange of the debt securities; </w:t>
      </w:r>
      <w:r>
        <mc:AlternateContent>
          <mc:Choice Requires="wps">
            <w:drawing>
              <wp:anchor behindDoc="0" distT="635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application, if any, of certain provisions of the Indenture relating to defeasance and discharge, and related conditions; </w:t>
      </w:r>
      <w:r>
        <mc:AlternateContent>
          <mc:Choice Requires="wps">
            <w:drawing>
              <wp:anchor behindDoc="0" distT="635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events of default, if not set forth in the applicable indenture; </w:t>
      </w:r>
      <w:r>
        <mc:AlternateContent>
          <mc:Choice Requires="wps">
            <w:drawing>
              <wp:anchor behindDoc="0" distT="635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restrictive covenants or other material terms relating thereto which may not be inconsistent with the applicable indenture; and </w:t>
      </w:r>
      <w:r>
        <mc:AlternateContent>
          <mc:Choice Requires="wps">
            <w:drawing>
              <wp:anchor behindDoc="0" distT="635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applicable material United States federal income tax consequences. </w:t>
      </w:r>
      <w:r>
        <mc:AlternateContent>
          <mc:Choice Requires="wps">
            <w:drawing>
              <wp:anchor behindDoc="0" distT="635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otherwise indicated in the prospectus supplement relating thereto, principal (and premium, if any) and interest will be payable and the Registered Securities will be transferable at the office or agency maintained by the applicable issuer for such purpose. Payment of principal (and premium, if any) and interest on Global Securities registered in the name of or held by the depository or its nominee will be made in immediately available funds to the depository or its nominee, as the case may be, as the registered holder of such Global Security. If any of the debt securities are no longer represented by a Global Security, payment of interest on Registered Securities may, at the applicable issuer’s option, be made by check mailed directly to holders at their registered addresses. See “— Forms of Debt Securities” below. No service charge will be made for any transfer or exchange of the debt securities, but the applicable issuer may require payment of a sum sufficient to cover any tax or other governmental charge payable in connection therewith.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One or more series of the debt securities may be issued as discounted debt securities (bearing no interest or interest at a rate which at the time of issuance is below market rates) to be sold at a substantial discount below their stated principal amount. Material United States federal income tax consequences and other special considerations applicable to any such discounted debt securities will be described in the prospectus supplement relating thereto.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applicable issuer may at any time purchase debt securities at any price in the open market or otherwise. Debt securities so purchased by the applicable issuer may, at its sole option, be held, resold or surrendered to the trustee for cancellation.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Covenants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otherwise specified in any prospectus supplement, the indentures will not contain any covenants that (i) limit the amount of indebtedness (including secured indebtedness) or lease obligations that may be incurred by the applicable issuer and its subsidiaries, or (ii) restrict the applicable issuer from entering into change of control transactions (other than as specified under “— Merger and Consolidation”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Merger and Consolidation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otherwise provided in any prospectus supplement and subject to certain exceptions set forth in the indentures, the issuer will covenant that it will not merge, consolidate with or sell, lease, transfer, convey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or otherwise dispose of its properties and assets substantially as an entirety to any person unless the successor person is a person organized under the laws of the United States (including any state thereof and the District of Columbia) which expressly assumes the issuer’s obligations on all the debt securities and under the applicable indenture and, after giving effect to such transaction, the issuer or the successor person would not be in default under the applicable indenture. Unless otherwise specified in any prospectus supplement, the indentures will not contain any covenants that restrict the issuers from changing their form or state of organization other than pursuant to a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Events of Default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indentures define “Events of Default” with respect to the debt securities of any series as being one of the following events: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default in the payment of any installment of interest on that series for, in the case of the Acuity indenture, 60 days or, in the case of the Acuity Brands Lighting indenture, 30 days after becoming due;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default in the payment of principal of (or premium, if any, on) that series when due;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(iii) default in the deposit of any sinking fund payment when due;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(iv) default in the performance or breach of any other covenant or warranty in the indenture (other than a covenant or warranty included in the indenture solely for the benefit of any series of debt securities other than that series) by the issuer or, in the case of the Acuity indenture, any guarantor of the applicable debt series for 90 days after written notice to the issuer or, if applicable, such guarantor, as the case may be, by the trustee or to the issuer or, if applicable, such guarantor, as the case may be and the trustee by the holders of at least 33% in principal amount of the debt securities of all series affected;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 certain events of bankruptcy, insolvency or reorganization with respect to the issuer and, in the case of the Acuity indenture, any guarantor of the applicable debt securities and significant subsidiaries;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(vi) any other Event of Default provided with respect to debt securities of that series; and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(vii) in the case of the Acuity indenture, any guarantee is held to be unenforceable or invalid or any guarantor of the applicable debt securities denies its obligations under its guarantee of the Registered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an Event of Default shall occur and be continuing, either the trustee or the holders of at least, with respect to the debt securities issued by Acuity Inc., 33% and, with respect to the debt securities issued by Acuity Brands Lighting, Inc., 25% in principal amount of the debt securities then outstanding of all series affected, voting as a single class, may declare the principal (or such portion thereof as may be specified in the prospectus supplement relating to any such series) of the debt securities of all such series to be due and payable. Under certain conditions, such a declaration may be annulled. Notwithstanding the foregoing, if an Event of Default pursuant to (v) above occurs with respect to the issuer or, in the case of the Acuity indenture, any guarantor, the unpaid principal of, premium, if any, and any accrued and unpaid interest on all the debt securities shall become and be immediately due and payable without further action or notice on the part of the trustee or any holder.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indentures provide that the trustee shall, within 90 days after the occurrence of a default actually known to one of its responsible officers, give the holders of debt securities notice of all uncured defaults actually known to one of its responsible officers (the term “default” to mean the events specified above without grace periods); </w:t>
      </w:r>
      <w:r>
        <w:rPr>
          <w:rFonts w:ascii="Times New Roman;Times;serif" w:hAnsi="Times New Roman;Times;serif"/>
          <w:b w:val="false"/>
          <w:i/>
          <w:caps w:val="false"/>
          <w:smallCaps w:val="false"/>
          <w:color w:val="000000"/>
          <w:spacing w:val="4"/>
          <w:sz w:val="20"/>
          <w:shd w:fill="FFFFFF" w:val="clear"/>
        </w:rPr>
        <w:t>provided, however</w:t>
      </w:r>
      <w:r>
        <w:rPr>
          <w:rFonts w:ascii="Times New Roman;Times;serif" w:hAnsi="Times New Roman;Times;serif"/>
          <w:b w:val="false"/>
          <w:i w:val="false"/>
          <w:caps w:val="false"/>
          <w:smallCaps w:val="false"/>
          <w:color w:val="000000"/>
          <w:spacing w:val="4"/>
          <w:sz w:val="20"/>
          <w:shd w:fill="FFFFFF" w:val="clear"/>
        </w:rPr>
        <w:t xml:space="preserve">, that, except in the case of default in the payment of principal of or interest on any debt security, the trustee shall be fully protected in withholding such notice if it in good faith determines the withholding of such notice is in the interest of the holders of debt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issuer will be required to furnish to the trustee annually a statement by the principal financial officer, the principal executive officer or the principal accounting officer of the issuer stating whether or not, to the best of his or her knowledge, the issuer is in default in the performance and observance of any of the terms, provisions and conditions under the applicable indenture and, if the issuer is in default, specifying each such default.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5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holders of a majority in principal amount of all series of the issuer’s outstanding debt securities affected will have the right, subject to certain limitations, to direct the time, method and place of conducting any proceeding for any remedy available to the trustee or exercising any trust or power conferred on the trustee with respect to the debt securities of such series, and to waive certain defaults with respect thereto. The indentures provide that in case an Event of Default shall occur and be continuing, the trustee shall exercise such of its rights and powers under the applicable indenture, and use the same degree of care and skill in its exercise, as a prudent person would exercise or use under the circumstances in the conduct of his or her own affairs. Subject to such provisions, the trustee will be under no obligation to exercise any of its rights or powers under the indentures at the request of any of the holders of debt securities unless they shall have offered to the trustee security or indemnity satisfactory to it against the costs, expenses and liabilities which might be incurred by it in compliance with such request.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Modification of the Indenture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indentures may generally be modified or amended with the consent of the holders of not less than a majority in principal amount of the outstanding debt securities of each series affected by the modification (voting as a single class); </w:t>
      </w:r>
      <w:r>
        <w:rPr>
          <w:rFonts w:ascii="Times New Roman;Times;serif" w:hAnsi="Times New Roman;Times;serif"/>
          <w:b w:val="false"/>
          <w:i/>
          <w:caps w:val="false"/>
          <w:smallCaps w:val="false"/>
          <w:color w:val="000000"/>
          <w:spacing w:val="4"/>
          <w:sz w:val="20"/>
          <w:shd w:fill="FFFFFF" w:val="clear"/>
        </w:rPr>
        <w:t>provided, however</w:t>
      </w:r>
      <w:r>
        <w:rPr>
          <w:rFonts w:ascii="Times New Roman;Times;serif" w:hAnsi="Times New Roman;Times;serif"/>
          <w:b w:val="false"/>
          <w:i w:val="false"/>
          <w:caps w:val="false"/>
          <w:smallCaps w:val="false"/>
          <w:color w:val="000000"/>
          <w:spacing w:val="4"/>
          <w:sz w:val="20"/>
          <w:shd w:fill="FFFFFF" w:val="clear"/>
        </w:rPr>
        <w:t xml:space="preserve">, that no such modification or amendment may be made, without the consent of the holder of each debt security affected, which would (i) reduce the principal amount of or the interest on any debt security, change the stated maturity of the principal of, or any installment of principal of or interest on, any debt security, or the other terms of payment thereof, or (ii) reduce the above-stated percentage of debt securities, the consent of the holders of which is required to modify or amend the applicable indenture, or the percentage of debt securities of any series, the consent of the holders of which is required to waive compliance with certain provisions of the applicable indenture or to waive certain past defaults, or (iii) in the case of the Acuity indenture, change the terms and conditions of the obligations of the guarantors in any manner adverse to the holders.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the Acuity indenture, without the consent of any holder of debt securities, the issuer, the guarantors and the trustee may enter into a supplemental indenture for any of the following purposes, among other things: </w:t>
      </w:r>
    </w:p>
    <w:p>
      <w:pPr>
        <w:pStyle w:val="TextBody"/>
        <w:bidi w:val="0"/>
        <w:spacing w:lineRule="atLeast" w:line="240" w:before="17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cure any ambiguity, omission, defect or inconsistency; </w:t>
      </w:r>
      <w:r>
        <mc:AlternateContent>
          <mc:Choice Requires="wps">
            <w:drawing>
              <wp:anchor behindDoc="0" distT="109220" distB="0" distL="25400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7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provide for uncertificated debt securities in addition to or in place of certificated debt securities; </w:t>
      </w:r>
      <w:r>
        <mc:AlternateContent>
          <mc:Choice Requires="wps">
            <w:drawing>
              <wp:anchor behindDoc="0" distT="109220" distB="0" distL="25400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7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comply with the requirements of the SEC in order to effect or maintain the qualification of the indenture under the Trust Indenture Act; </w:t>
      </w:r>
      <w:r>
        <mc:AlternateContent>
          <mc:Choice Requires="wps">
            <w:drawing>
              <wp:anchor behindDoc="0" distT="109220" distB="0" distL="25400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7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evidence and provide for the acceptance of appointment by a successor trustee; </w:t>
      </w:r>
      <w:r>
        <mc:AlternateContent>
          <mc:Choice Requires="wps">
            <w:drawing>
              <wp:anchor behindDoc="0" distT="109220" distB="0" distL="25400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7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conform the terms of the indenture, the debt securities and/or the guarantees to any provision or other description of the debt securities or guarantees, as the case may be, contained in the prospectus supplement for the debt securities; </w:t>
      </w:r>
      <w:r>
        <mc:AlternateContent>
          <mc:Choice Requires="wps">
            <w:drawing>
              <wp:anchor behindDoc="0" distT="109220" distB="0" distL="25400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7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provide for the assumption by a successor corporation, partnership, trust or limited liability company of the issuer’s or the guarantor’s obligations under the indenture, the guarantees and the debt securities, in each case in compliance with the provisions thereof; </w:t>
      </w:r>
      <w:r>
        <mc:AlternateContent>
          <mc:Choice Requires="wps">
            <w:drawing>
              <wp:anchor behindDoc="0" distT="109220" distB="0" distL="25400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7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provide for the issuance of any additional debt securities; </w:t>
      </w:r>
      <w:r>
        <mc:AlternateContent>
          <mc:Choice Requires="wps">
            <w:drawing>
              <wp:anchor behindDoc="0" distT="109220" distB="0" distL="25400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7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comply with the rules of any applicable securities depository; </w:t>
      </w:r>
      <w:r>
        <mc:AlternateContent>
          <mc:Choice Requires="wps">
            <w:drawing>
              <wp:anchor behindDoc="0" distT="107950" distB="0" distL="25400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5pt;mso-wrap-distance-bottom:0pt;margin-top:8.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(h)</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7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make any change that would provide any additional rights or benefits to the holders of debt securities (including to secure the debt securities, add guarantees with respect thereto, transfer any property to or with the trustee, add to the issuer’s covenants for the benefit of the holders of debt securities, add any additional events of default for the debt securities, or surrender any right or power conferred upon the issuer or the guarantors) or that does not adversely affect the legal rights of any holder of debt securities in any material respect; </w:t>
      </w:r>
      <w:r>
        <mc:AlternateContent>
          <mc:Choice Requires="wps">
            <w:drawing>
              <wp:anchor behindDoc="0" distT="107950" distB="0" distL="25400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5pt;mso-wrap-distance-bottom:0pt;margin-top:8.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change or eliminate any restrictions on the payment of principal (and premium, if any) on debt securities in registered form; provided that any such action does not adversely affect the interests of the holders of debt securities in any material respect; or </w:t>
      </w:r>
      <w:r>
        <mc:AlternateContent>
          <mc:Choice Requires="wps">
            <w:drawing>
              <wp:anchor behindDoc="0" distT="0" distB="0" distL="254000" distR="0" simplePos="0" locked="0" layoutInCell="1" allowOverlap="1" relativeHeight="69">
                <wp:simplePos x="0" y="0"/>
                <wp:positionH relativeFrom="column">
                  <wp:align>left</wp:align>
                </wp:positionH>
                <wp:positionV relativeFrom="line">
                  <wp:posOffset>635</wp:posOffset>
                </wp:positionV>
                <wp:extent cx="254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(j)</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(j)</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supplement any provision of the indenture as necessary to permit or facilitate the defeasance and discharge of the debt securities in accordance with the indenture; provided that such action does not adversely affect the interests of any of the holders of debt securities in any material respect. </w:t>
      </w:r>
      <w:r>
        <mc:AlternateContent>
          <mc:Choice Requires="wps">
            <w:drawing>
              <wp:anchor behindDoc="0" distT="99060" distB="0" distL="25400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(k)</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(k)</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the Acuity Brands Lighting indenture, without the consent of any holder of debt securities, the issuer and the trustee may enter into a supplemental indenture to amend the indenture or the debt securities issued under the indenture for any of the following purposes, among other things: </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evidence the succession of another person to the issuer and the assumption by any such successor of the covenants of the issuer in the indenture, as supplemented, and in the debt securities; </w:t>
      </w:r>
      <w:r>
        <mc:AlternateContent>
          <mc:Choice Requires="wps">
            <w:drawing>
              <wp:anchor behindDoc="0" distT="99060" distB="0" distL="25400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add to the covenants of the issuer, for the benefit of the holders of all or any series of debt securities (and if such covenants are to be for the benefit of less than all series of debt securities, stating that such covenants are expressly being included solely for the benefit of such series) or to surrender any right or power herein conferred upon the issuer; </w:t>
      </w:r>
      <w:r>
        <mc:AlternateContent>
          <mc:Choice Requires="wps">
            <w:drawing>
              <wp:anchor behindDoc="0" distT="99060" distB="0" distL="25400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add any additional Events of Default; </w:t>
      </w:r>
      <w:r>
        <mc:AlternateContent>
          <mc:Choice Requires="wps">
            <w:drawing>
              <wp:anchor behindDoc="0" distT="99060" distB="0" distL="25400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permit the issuance of debt securities in uncertificated form, provided that any such action shall not adversely affect the interests of the holders of debt securities of any series in any material respect; or </w:t>
      </w:r>
      <w:r>
        <mc:AlternateContent>
          <mc:Choice Requires="wps">
            <w:drawing>
              <wp:anchor behindDoc="0" distT="99060" distB="0" distL="25400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change or eliminate any of the provisions of the indenture, provided that any such change or elimination shall become effective only with respect to debt securities not outstanding at the time of the execution of such supplemental indenture; </w:t>
      </w:r>
      <w:r>
        <mc:AlternateContent>
          <mc:Choice Requires="wps">
            <w:drawing>
              <wp:anchor behindDoc="0" distT="99060" distB="0" distL="25400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add guarantees with respect to the debt securities; </w:t>
      </w:r>
      <w:r>
        <mc:AlternateContent>
          <mc:Choice Requires="wps">
            <w:drawing>
              <wp:anchor behindDoc="0" distT="99060" distB="0" distL="25400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secure the debt securities; </w:t>
      </w:r>
      <w:r>
        <mc:AlternateContent>
          <mc:Choice Requires="wps">
            <w:drawing>
              <wp:anchor behindDoc="0" distT="99060" distB="0" distL="25400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establish the form or terms of debt securities of any series; </w:t>
      </w:r>
      <w:r>
        <mc:AlternateContent>
          <mc:Choice Requires="wps">
            <w:drawing>
              <wp:anchor behindDoc="0" distT="99060" distB="0" distL="25400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(h)</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evidence and provide for the acceptance of appointment hereunder by a successor trustee with respect to the debt securities of one or more series and/or to add to or change any of the provisions of the indenture as shall be necessary to provide for or facilitate the administration of the trusts under the indenture by more than one trustee; </w:t>
      </w:r>
      <w:r>
        <mc:AlternateContent>
          <mc:Choice Requires="wps">
            <w:drawing>
              <wp:anchor behindDoc="0" distT="99060" distB="0" distL="25400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cure any ambiguity or omission, to correct or supplement any provision of the indenture, as supplemented, which may be defective or inconsistent with any other provision herein or to conform any provision applicable to debt securities of any series to the description of the terms of such debt securities in any prospectus supplement; or </w:t>
      </w:r>
      <w:r>
        <mc:AlternateContent>
          <mc:Choice Requires="wps">
            <w:drawing>
              <wp:anchor behindDoc="0" distT="100330" distB="0" distL="25400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(j)</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(j)</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make any other provisions with respect to matters or questions arising under the indenture, provided that such action shall not adversely affect the interests of the holders of debt securities of any series in any material respect. </w:t>
      </w:r>
      <w:r>
        <mc:AlternateContent>
          <mc:Choice Requires="wps">
            <w:drawing>
              <wp:anchor behindDoc="0" distT="100330" distB="0" distL="25400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(k)</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(k)</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Defeasance and Discharge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indentures provide that the issuer or, in the case of the Acuity indenture, the guarantors may elect, with respect to the debt securities of any series, either: </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terminate (and be deemed to have satisfied) any and all obligations in respect of such debt securities (except for certain obligations to register the transfer or exchange of debt securities, to replace stolen, lost or mutilated debt securities, to maintain paying agencies and hold monies for payment in trust and, if so specified with respect to the debt securities of a certain series, to pay the principal of (and premium, if any) and interest, if any, on such specified debt securities and certain obligations owed to the trustee (“legal defeasance”)); or </w:t>
      </w:r>
      <w:r>
        <mc:AlternateContent>
          <mc:Choice Requires="wps">
            <w:drawing>
              <wp:anchor behindDoc="0" distT="99060" distB="0" distL="25400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be released from its obligations to comply with any restrictive covenants under the applicable indenture (“covenant defeasance”), </w:t>
      </w:r>
      <w:r>
        <mc:AlternateContent>
          <mc:Choice Requires="wps">
            <w:drawing>
              <wp:anchor behindDoc="0" distT="0" distB="0" distL="254000" distR="0" simplePos="0" locked="0" layoutInCell="1" allowOverlap="1" relativeHeight="83">
                <wp:simplePos x="0" y="0"/>
                <wp:positionH relativeFrom="column">
                  <wp:align>left</wp:align>
                </wp:positionH>
                <wp:positionV relativeFrom="line">
                  <wp:posOffset>635</wp:posOffset>
                </wp:positionV>
                <wp:extent cx="254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either case after the deposit with the trustee of money and/or Government Obligations (as defined in the applicable indenture) sufficient (without reinvestment and, in the case of the Acuity indenture, in the written opinion of a nationally recognized firm of independent public accountants) to pay and discharge the principal of (and premium, if any) and interest on the outstanding debt securities and, in the case of the Acuity Brands Lighting indenture, any mandatory sinking fund payments in respect of such debt securities on the day on which such payments are due and payable in accordance with the terms of the applicable indenture and such debt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the Acuity indenture, such amounts may be deposited with the trustee only if, among other things, </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the legal defeasance option, the issuer has delivered to the trustee an opinion of counsel (who may be counsel to the issuer) stating that (A) the issuer and the Guarantors have received from, or there has been published by, the Internal Revenue Service a ruling, or (B) since the date of the indenture there has been a change in the applicable federal income tax law, in either case to the effect that, and based on such ruling or change in law, such opinion of counsel confirms that, the holders of debt securities will not recognize income, gain or loss for federal income tax purposes as a result of such deposit and defeasance and will be subject to federal income tax on the same amounts, in the same manner and at the same times as would have been the case if such deposit and defeasance had not occurred; or </w:t>
      </w:r>
      <w:r>
        <mc:AlternateContent>
          <mc:Choice Requires="wps">
            <w:drawing>
              <wp:anchor behindDoc="0" distT="99060" distB="0" distL="25400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the covenant defeasance option, the issuer has delivered to the trustee an opinion of counsel (who may be counsel to the issuer) to the effect that the holders of debt securities will not recognize income, gain or loss for federal income tax purposes as a result of such deposit and defeasance and will be subject to federal income tax on the same amounts, in the same manner and at the same times as would have been the case if such deposit and defeasance had not occurred. </w:t>
      </w:r>
      <w:r>
        <mc:AlternateContent>
          <mc:Choice Requires="wps">
            <w:drawing>
              <wp:anchor behindDoc="0" distT="99060" distB="0" distL="25400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the Acuity Brands Lighting indenture, such a trust may be established only if, among other things, the issuer has delivered to the trustee an opinion of counsel (who may be counsel to issuer) to the effect that, based upon applicable U.S. federal income tax law or a ruling published by the U.S. Internal Revenue Service (which opinion must, in the case of legal defeasance, be based on a change in applicable U.S. federal income tax law after the date of the indenture or a ruling published by the U.S. Internal Revenue Service after the date of the indenture), such a defeasance and discharge will not be deemed, or result in, a taxable event with respect to beneficial owners of such debt securities. For the avoidance of doubt, neither the trustee nor any of its agents are responsible for determining the sufficiency of any amounts deposited in trust pursuant to a discharge or defeasance of any series of debt securities under the Indenture and neither the trustee nor any of its agents shall have any obligation or liability whatsoever with respect to the sufficiency of such amounts.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indentures also provide that, in the case of the Acuity indenture, the issuer and the guarantors may terminate their obligations under the indenture and, in the case of the Acuity Brands Lighting indenture, the indenture shall cease to be of further effect with respect to any series of debt securities and the trustee, at the expense of and upon written instruction by the issuer, shall execute proper instruments acknowledging satisfaction and discharge of the issuer as to such series when: </w:t>
      </w:r>
    </w:p>
    <w:p>
      <w:pPr>
        <w:pStyle w:val="TextBody"/>
        <w:bidi w:val="0"/>
        <w:spacing w:lineRule="atLeast" w:line="240" w:before="15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either: </w:t>
      </w:r>
      <w:r>
        <mc:AlternateContent>
          <mc:Choice Requires="wps">
            <w:drawing>
              <wp:anchor behindDoc="0" distT="100330" distB="0" distL="25400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the Acuity indenture, all the debt securities, or in the case of the Acuity Brands Lighting indenture, all the debt securities of such series, that have been authenticated and delivered have been delivered to the trustee for cancellation; or </w:t>
      </w:r>
      <w:r>
        <mc:AlternateContent>
          <mc:Choice Requires="wps">
            <w:drawing>
              <wp:anchor behindDoc="0" distT="100330" distB="0" distL="50800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the Acuity indenture, all the debt securities, or in the case of the Acuity Brands Lighting indenture, all the debt securities of such series, issued that have not been delivered to the trustee for cancellation have become due and payable or will become due and payable at their stated maturity within one year or are to be called for redemption within one year under arrangements satisfactory to the trustee for the giving of notice of redemption by such </w:t>
      </w:r>
      <w:r>
        <mc:AlternateContent>
          <mc:Choice Requires="wps">
            <w:drawing>
              <wp:anchor behindDoc="0" distT="99060" distB="0" distL="50800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trustee in the issuer’s name and at the issuer’s expense, and the issuer has deposited or caused to be deposited with the trustee sufficient funds to pay and discharge the entire debt on the debt securities to pay principal (and premium, if any), interest and, in the case of the Acuity indenture, any additional amounts;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the issuer has paid or caused to be paid all other sums then due and payable, in the case of the Acuity indenture, under the indenture or, in the case of the Acuity Brands Lighting indenture, under the indenture with respect to such series; and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the issuer has delivered to the trustee an officer’s certificate and an opinion of counsel stating that all conditions precedent under the indenture relating to the satisfaction and discharge of the indenture have been complied with.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Forms of Debt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debt security will be represented either by a certificate issued in definitive form to a particular investor or by one or more global securities representing the entire issuance of debt securities. Certificated securities in definitive form and global securities will be issued in registered form. Definitive securities name you or your nominee as the owner of the debt security, and in order to transfer or exchange these debt securities or to receive payments other than interest or other interim payments, you or your nominee must physically deliver the definitive securities to the trustee, security registrar, paying agent or other agent, as applicable. Global securities name a depositary or its nominee as the owner of the debt securities represented by these global securities. The depositary maintains a computerized system that will reflect each investor’s beneficial ownership of the debt securities through an account maintained by the investor with its broker/dealer, bank, trust company or other representative, as we explain more fully below.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Registered global securities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issuers may issue the registered debt securities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debt securities to be represented by registered global securities. Unless and until it is exchanged in whole for debt securities in definitive registered form, a registered global security may not be transferred except as a whole by and among the depositary for the registered global security, the nominees of the depositary or any successors of the depositary or those nominees.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not described below, any specific terms of the depositary arrangement with respect to any debt securities to be represented by a registered global security will be described in the prospectus supplement relating to those debt securities. We anticipate that the following provisions will apply to all depositary arrangements.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debt securities beneficially owned by the participants. Any dealers, underwriters or agents participating in the distribution of the debt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debt securities take physical delivery of these debt securities in definitive form. These laws may impair your ability to own, transfer or pledge beneficial interests in registered global securities.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So long as the depositary, or its nominee, is the registered owner of a registered global security, that depositary or its nominee, as the case may be, will be considered the sole owner or holder of the debt securities represented by the registered global security for all purposes under the applicable indenture. Except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described below, owners of beneficial interests in a registered global security will not be entitled to have the debt securities represented by the registered global security registered in their names, will not receive or be entitled to receive physical delivery of the debt securities in definitive form and will not be considered the owners or holders of the debt securities under the applicable indenture.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Principal, premium, if any, and interest payments on debt securities represented by a registered global security registered in the name of a depositary or its nominee will be made to the depositary or its nominee, as the case may be, as the registered owner of the registered global security. None of the issuer, the guarantors, the trustee, the security registrar or any other agent of the issuer, the guarantors, the trustee or the security registrar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expect that the depositary for any of the debt securities represented by a registered global security, upon receipt of any payment of principal, premium, interest or other distribution of underlying securities or other property to holders on that registered global security, if any,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debt securities held for the accounts of customers or registered in “street name,” and will be the responsibility of those participants.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depositary for any of these debt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debt securities in definitive form in exchange for the registered global security that had been held by the depositary. Any debt securities issued in definitive form in exchange for a registered global security will be registered in the name or names that the depositary gives to the relevant security registrar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Euroclear and Clearstream</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depositary for a global security is The Depository Trust Company, or “DTC,” you may hold interests in the global security through Clearstream Banking, </w:t>
      </w:r>
      <w:r>
        <w:rPr>
          <w:rFonts w:ascii="Times New Roman;Times;serif" w:hAnsi="Times New Roman;Times;serif"/>
          <w:b w:val="false"/>
          <w:i/>
          <w:caps w:val="false"/>
          <w:smallCaps w:val="false"/>
          <w:color w:val="000000"/>
          <w:spacing w:val="4"/>
          <w:sz w:val="20"/>
          <w:shd w:fill="FFFFFF" w:val="clear"/>
        </w:rPr>
        <w:t>société anonyme</w:t>
      </w:r>
      <w:r>
        <w:rPr>
          <w:rFonts w:ascii="Times New Roman;Times;serif" w:hAnsi="Times New Roman;Times;serif"/>
          <w:b w:val="false"/>
          <w:i w:val="false"/>
          <w:caps w:val="false"/>
          <w:smallCaps w:val="false"/>
          <w:color w:val="000000"/>
          <w:spacing w:val="4"/>
          <w:sz w:val="20"/>
          <w:shd w:fill="FFFFFF" w:val="clear"/>
        </w:rPr>
        <w:t xml:space="preserve">, which we refer to as “Clearstream,” or Euroclear Bank SA/NV, as operator of the Euroclear System, which we refer to as “Euroclear,” in each case, as a participant in DTC. Euroclear and Clearstream will hold interests, in each case, on behalf of their participants through customers’ securities accounts in the names of Euroclear and Clearstream on the books of their respective depositaries, which in turn will hold such interests in customers’ securities in the depositaries’ names on DTC’s books.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Payments, deliveries, transfers, exchanges, notices and other matters relating to the debt securities made through Euroclear or Clearstream must comply with the rules and procedures of those systems. Those systems could change their rules and procedures at any time. We have no control over those systems or their participants, and we take no responsibility for their activities. Transactions between participants in Euroclear or Clearstream, on one hand, and other participants in DTC, on the other hand, would also be subject to DTC’s rules and procedures.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5320"/>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Participants will be able to make and receive through Euroclear and Clearstream payments, deliveries, transfers, exchanges, notices and other transactions involving any debt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because of time-zone differences, U.S. investors who hold their interests in the debt securities through these systems and wish on a particular day, to transfer their interests, or to receive or make a payment or delivery or exercise any other right with respect to their interests, may find that the transaction will not be effected until the next business day in Luxembourg or Brussels, as applicable. Thus, investors who wish to exercise rights that expire on a particular day may need to act before the expiration date. In addition, investors who hold their interests through both DTC and Euroclear or Clearstream may need to make special arrangements to finance any purchase or sales of their interests between the U.S. and European clearing systems, and those transactions may settle later than transactions within one clearing system.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Guarantees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any debt securities are to be guaranteed, then the applicable guarantors will each guarantee the obligations of the applicable issuer under the debt securities, to the extent and on the terms, including the terms of subordination, if any, described in the applicable indenture and prospectus supplement to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Governing Law</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indentures, the debt securities and any guarantees will be governed by, and construed in accordance with, the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Concerning the Trustee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U.S. Bank Trust Company, National Association is the trustee under the indentures and will have been appointed by the issuers as initial security registrar with regard to the debt securities. We will specify any material relationship the applicable issuer may have with the trustee in the applicable prospectus supplement. In addition, the trustee may serve as trustee for other debt securities issued by the issuers from time to time.</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3" w:name="tSEST"/>
      <w:bookmarkEnd w:id="13"/>
      <w:r>
        <w:rPr>
          <w:rFonts w:ascii="calibri;arial;sans-serif" w:hAnsi="calibri;arial;sans-serif"/>
          <w:b w:val="false"/>
          <w:i w:val="false"/>
          <w:caps w:val="false"/>
          <w:smallCaps w:val="false"/>
          <w:sz w:val="18"/>
          <w:shd w:fill="E5E4E2" w:val="clear"/>
        </w:rPr>
        <w:t>​</w:t>
      </w:r>
      <w:bookmarkStart w:id="14" w:name="tPOD"/>
      <w:bookmarkEnd w:id="1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SELLING STOCKHOLDERS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register shares of common stock covered by this prospectus for re-offers and resales by any selling stockholders to be named in a prospectus supplement. Because we are a well-known seasoned issuer, we may add secondary sales of shares of our common stock by any selling stockholders by filing a prospectus supplement with the SEC. We may register these shares to permit selling stockholders to resell their shares when they deem appropriate. A selling stockholder may resell all, a portion or none of such stockholder’s shares at any time and from time to time. The selling stockholders may not sell any shares of our common stock pursuant to this prospectus until we have identified such selling stockholders and the shares being offered for resale by such selling stockholders in a subsequent prospectus supplement. Selling stockholders may also sell, transfer or otherwise dispose of some or all of their shares of our common stock in transactions exempt from the registration requirements of the Securities Act. We do not know when or in what amounts the selling stockholders may offer shares for sale under this prospectus and any prospectus supplement. We will not receive any proceeds from any sale of shares by a selling stockholder under this prospectus and any prospectus supplement. We may pay all expenses incurred with respect to the registration of the shares of common stock owned by the selling stockholders, other than underwriting fees, discounts or commissions, which will be borne by the selling stockholders. Information about the selling stockholders, where applicable, including their identities, the amount of shares of common stock owned by each selling stockholder prior to the offering, the number of shares of our common stock to be offered by each selling stockholder and the amount of common stock to be owned by each selling stockholder after completion of the offering, will be set forth in an applicable prospectus supplement, documents incorporated by reference or in a free writing prospectus we file with the SEC. The applicable prospectus supplement will also disclose whether any of the selling stockholders has held any position or office with, has been employed by or otherwise has had a material relationship with us during the three years prior to the date of the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PLAN OF DISTRIBUTION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sell our securities, and any selling stockholder may sell shares of our common stock, in any one or more of the following ways from time to time: (i) through agents; (ii) to or through underwriters, including through underwriting syndicates represented by managing underwriters; (iii) through brokers or dealers; (iv) directly by us or any selling stockholders to purchasers, including through a specific bidding, auction or other process; or (v) through a combination of any of these methods of sale. Each time we offer and sell securities covered by this prospectus, we will make available a prospectus supplement or supplements that will describe the method of distribution and set forth the terms of the offering, including: (i) the name or names of any underwriters, dealers or agents and the amounts of securities underwritten or purchased by each of them; (ii) if a fixed price offering, the public offering price of the securities and the proceeds to us; (iii) any options under which underwriters may purchase additional securities from us; (iv) any underwriting discounts or commissions or agency fees and other items constituting underwriters’ or agents’ compensation; (v) terms and conditions of the offering; (vi) any discounts, commissions or concessions allowed or reallowed or paid to dealers; and (vii) any securities exchange or market on which the securities may be listed. Any dealers and agents participating in the distribution of the securities may be deemed to be underwriters, and compensation received by them on resale of the securities may be deemed to be underwriting discounts. Any selling stockholders, dealers and agents participating in the distribution of the securities may be deemed to be underwriters, and compensation received by them on resale of the securities may be deemed to be underwriting discounts. Additionally, because selling stockholders may be deemed to be “underwriters” within the meaning of Section 2(a)(11) of the Securities Act, selling stockholders may be subject to the prospectus delivery requirements of the Securities Act.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initial offering price, dealer purchase price, discount or commission may be changed from time to time.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securities may be distributed from time to time in one or more transactions, at negotiated prices, at fixed prices (that may be subject to change), at market prices prevailing at the time of sale, at various prices determined at the time of sale or at prices related to prevailing market prices.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Offers to purchase securities may be solicited directly by us or any selling stockholder or by agents designated by us from time to time. Any such agent may be deemed to be an underwriter, as that term is defined in the Securities Act, of the securities so offered and sold.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underwriters are utilized in the sale of any securities in respect of which this prospectus is being delivered, such securities will be acquired by the underwriters for their own account and may be resold from time to time in one or more transactions, including negotiated transactions, at fixed public offering prices or at varying prices determined by the underwriters at the time of sale. Securities may be offered to the public either through underwriting syndicates represented by managing underwriters or directly by one or more underwriters. If any underwriter or underwriters are utilized in the sale of securities, unless otherwise indicated in the applicable prospectus supplement, the obligations of the underwriters are subject to certain conditions precedent and the underwriters will be obligated to purchase all such securities if any are purchased.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 broker or dealer is utilized in the sale of the securities in respect of which this prospectus is delivered, we will sell such securities, and any selling stockholder will sell shares of our common stock to the dealer, as principal. The broker or dealer may then resell such securities to the public at varying prices to be determined by such dealer at the time of resale. Transactions through brokers or dealers may include block trades in which brokers or dealers will attempt to sell securities as agent but may position and resell as principal to facilitate the transaction or in crosses, in which the same broker or dealer acts as agent on both sides of the trade. Any such broker or dealer may be deemed to be an underwriter, as such term is defined in the Securities Act, of the securities so offered and sold. In addition, any selling stockholder may sell shares of our common stock in ordinary brokerage transactions or in transactions in which a broker solicits purchases.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Offers to purchase securities may be solicited directly by us or any selling stockholder and the sale thereof may be made by us or any selling stockholder directly to institutional investors or others, who may be deemed to be underwriters within the meaning of the Securities Act with respect to any resale thereof.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selling stockholders may also resell all or a portion of their shares of our common stock in transactions exempt from the registration requirements of the Securities Act in reliance upon Rule 144 under the Securities Act provided they meet the criteria and conform to the requirements of that rule, Section 4(a)(1) of the Securities Act or other applicable exemptions, regardless of whether the securities are covered by the registration statement of which this prospectus forms a part.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so indicated in the applicable prospectus supplement, we or any selling stockholder may authorize agents and underwriters to solicit offers by certain institutions to purchase securities from us or any selling stockholder or at the public offering price set forth in the applicable prospectus supplement pursuant to delayed delivery contracts providing for payment and delivery on the date or dates stated in the applicable prospectus supplement. Such delayed delivery contracts will be subject only to those conditions set forth in the applicable prospectus supplement.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Agents, underwriters and dealers may be entitled under relevant agreements with us or any selling stockholder to indemnification by us against certain liabilities, including liabilities under the Securities Act, or to contribution with respect to payments that such agents, underwriters and dealers may be required to make in respect thereof. The terms and conditions of any indemnification or contribution will be described in the applicable prospectus supplement. We may pay all expenses incurred with respect to the registration of the shares of common stock owned by any selling stockholders, other than underwriting fees, discounts or commissions, which will be borne by the selling stockholders.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Underwriters, brokers, dealers or agents may receive compensation in the form of commissions, discounts or concessions from us or selling stockholders. Underwriters, brokers, dealers or agents may also receive compensation from the purchasers of securities for whom they act as agents or to whom they sell as principals, or both. Compensation as to a particular underwriter, brokers, dealers or agent might be in excess of customary commissions and will be in amounts to be negotiated in connection with transactions. In effecting sales, brokers or dealers engaged by us may arrange for other brokers or dealers to participate in the resales.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series of securities will be a new issue and will have no established trading market. We may elect to list any series of securities on an exchange, but, unless otherwise specified in the applicable prospectus supplement, we shall not be obligated to do so. No assurance can be given as to the liquidity of the trading market for any of the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Agents, underwriters and dealers may engage in transactions with, or perform services for, us and our respective subsidiaries or any selling stockholder in the ordinary course of business.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5" w:name="tVOTS"/>
      <w:bookmarkEnd w:id="15"/>
      <w:r>
        <w:rPr>
          <w:rFonts w:ascii="calibri;arial;sans-serif" w:hAnsi="calibri;arial;sans-serif"/>
          <w:b w:val="false"/>
          <w:i w:val="false"/>
          <w:caps w:val="false"/>
          <w:smallCaps w:val="false"/>
          <w:sz w:val="18"/>
          <w:shd w:fill="E5E4E2" w:val="clear"/>
        </w:rPr>
        <w:t>​</w:t>
      </w:r>
      <w:bookmarkStart w:id="16" w:name="tEXP"/>
      <w:bookmarkEnd w:id="1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5480"/>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 An underwriter may carry out these transactions on a stock exchange, in the over-the-counter market or otherwise.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place and time of delivery for securities will be set forth in the applicable prospectus supplement for such securities.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VALIDITY OF THE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otherwise indicated in the prospectus supplement accompanying this prospectus, the validity of the securities will be passed upon for us by our counsel, Foley &amp; Lardner LLP, Milwaukee, Wisconsin. Any underwriters, dealers or agents will be advised about the validity of the securities and other legal matters by their own counsel, which will be named in the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EXPERTS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consolidated financial statements of Acuity Inc. appearing in Acuity Inc.’s Annual Report (Form 10-K) for the year ended August 31, 2026, and the effectiveness of Acuity Inc.’s internal control over financial reporting as of August 31, 2026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PART II</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INFORMATION NOT REQUIRED IN PROSPECTUS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Item 14.   Other Expenses of Issuance and Distribution.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sets forth the various expenses, other than the underwriting discounts and commissions, expected to be incurred by Acuity Inc. (the “Company”) in connection with the sale and distribution of the securities being registered hereby, all of which will be borne by the Company. </w:t>
      </w:r>
    </w:p>
    <w:tbl>
      <w:tblPr>
        <w:tblW w:w="6921" w:type="dxa"/>
        <w:jc w:val="left"/>
        <w:tblInd w:w="1433" w:type="dxa"/>
        <w:tblLayout w:type="fixed"/>
        <w:tblCellMar>
          <w:top w:w="0" w:type="dxa"/>
          <w:left w:w="0" w:type="dxa"/>
          <w:bottom w:w="0" w:type="dxa"/>
          <w:right w:w="0" w:type="dxa"/>
        </w:tblCellMar>
      </w:tblPr>
      <w:tblGrid>
        <w:gridCol w:w="124"/>
        <w:gridCol w:w="5050"/>
        <w:gridCol w:w="109"/>
        <w:gridCol w:w="109"/>
        <w:gridCol w:w="109"/>
        <w:gridCol w:w="226"/>
        <w:gridCol w:w="931"/>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5050" w:type="dxa"/>
            <w:tcBorders/>
            <w:shd w:fill="CCEEFF" w:val="clear"/>
            <w:vAlign w:val="center"/>
          </w:tcPr>
          <w:p>
            <w:pPr>
              <w:pStyle w:val="TableContents"/>
              <w:bidi w:val="0"/>
              <w:spacing w:before="0" w:after="0"/>
              <w:jc w:val="left"/>
              <w:rPr>
                <w:spacing w:val="4"/>
              </w:rPr>
            </w:pPr>
            <w:r>
              <w:rPr>
                <w:spacing w:val="4"/>
              </w:rPr>
              <w:t xml:space="preserve">Filing Fee – Securities and Exchange Commission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931" w:type="dxa"/>
            <w:tcBorders/>
            <w:shd w:fill="CCEEFF" w:val="clear"/>
            <w:vAlign w:val="center"/>
          </w:tcPr>
          <w:p>
            <w:pPr>
              <w:pStyle w:val="TableContents"/>
              <w:bidi w:val="0"/>
              <w:spacing w:before="0" w:after="283"/>
              <w:jc w:val="right"/>
              <w:rPr/>
            </w:pPr>
            <w:r>
              <w:rPr/>
              <w:t>     </w:t>
            </w:r>
            <w:r>
              <w:rPr>
                <w:sz w:val="13"/>
              </w:rPr>
              <w:t>(1)</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050" w:type="dxa"/>
            <w:tcBorders/>
            <w:vAlign w:val="center"/>
          </w:tcPr>
          <w:p>
            <w:pPr>
              <w:pStyle w:val="TableContents"/>
              <w:bidi w:val="0"/>
              <w:spacing w:before="0" w:after="0"/>
              <w:jc w:val="left"/>
              <w:rPr>
                <w:spacing w:val="4"/>
              </w:rPr>
            </w:pPr>
            <w:r>
              <w:rPr>
                <w:spacing w:val="4"/>
              </w:rPr>
              <w:t xml:space="preserve">Accounting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pPr>
            <w:r>
              <w:rPr/>
              <w:t>​</w:t>
            </w:r>
          </w:p>
        </w:tc>
        <w:tc>
          <w:tcPr>
            <w:tcW w:w="931" w:type="dxa"/>
            <w:tcBorders/>
            <w:vAlign w:val="center"/>
          </w:tcPr>
          <w:p>
            <w:pPr>
              <w:pStyle w:val="TableContents"/>
              <w:bidi w:val="0"/>
              <w:spacing w:before="0" w:after="0"/>
              <w:jc w:val="right"/>
              <w:rPr/>
            </w:pPr>
            <w:r>
              <w:rPr/>
              <w:t>​</w:t>
            </w:r>
            <w:r>
              <w:rPr>
                <w:sz w:val="13"/>
              </w:rPr>
              <w:t>(2)</w:t>
            </w:r>
            <w:r>
              <w:rPr>
                <w:sz w:val="15"/>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050" w:type="dxa"/>
            <w:tcBorders/>
            <w:shd w:fill="CCEEFF" w:val="clear"/>
            <w:vAlign w:val="center"/>
          </w:tcPr>
          <w:p>
            <w:pPr>
              <w:pStyle w:val="TableContents"/>
              <w:bidi w:val="0"/>
              <w:spacing w:before="0" w:after="0"/>
              <w:jc w:val="left"/>
              <w:rPr>
                <w:spacing w:val="4"/>
              </w:rPr>
            </w:pPr>
            <w:r>
              <w:rPr>
                <w:spacing w:val="4"/>
              </w:rPr>
              <w:t xml:space="preserve">Legal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0"/>
              <w:jc w:val="right"/>
              <w:rPr/>
            </w:pPr>
            <w:r>
              <w:rPr/>
              <w:t>​</w:t>
            </w:r>
          </w:p>
        </w:tc>
        <w:tc>
          <w:tcPr>
            <w:tcW w:w="931" w:type="dxa"/>
            <w:tcBorders/>
            <w:shd w:fill="CCEEFF" w:val="clear"/>
            <w:vAlign w:val="center"/>
          </w:tcPr>
          <w:p>
            <w:pPr>
              <w:pStyle w:val="TableContents"/>
              <w:bidi w:val="0"/>
              <w:spacing w:before="0" w:after="0"/>
              <w:jc w:val="right"/>
              <w:rPr/>
            </w:pPr>
            <w:r>
              <w:rPr/>
              <w:t>​</w:t>
            </w:r>
            <w:r>
              <w:rPr>
                <w:sz w:val="13"/>
              </w:rPr>
              <w:t>(2)</w:t>
            </w:r>
            <w:r>
              <w:rPr>
                <w:sz w:val="15"/>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050" w:type="dxa"/>
            <w:tcBorders/>
            <w:vAlign w:val="center"/>
          </w:tcPr>
          <w:p>
            <w:pPr>
              <w:pStyle w:val="TableContents"/>
              <w:bidi w:val="0"/>
              <w:spacing w:before="0" w:after="0"/>
              <w:jc w:val="left"/>
              <w:rPr>
                <w:spacing w:val="4"/>
              </w:rPr>
            </w:pPr>
            <w:r>
              <w:rPr>
                <w:spacing w:val="4"/>
              </w:rPr>
              <w:t xml:space="preserve">Trustee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pPr>
            <w:r>
              <w:rPr/>
              <w:t>​</w:t>
            </w:r>
          </w:p>
        </w:tc>
        <w:tc>
          <w:tcPr>
            <w:tcW w:w="931" w:type="dxa"/>
            <w:tcBorders/>
            <w:vAlign w:val="center"/>
          </w:tcPr>
          <w:p>
            <w:pPr>
              <w:pStyle w:val="TableContents"/>
              <w:bidi w:val="0"/>
              <w:spacing w:before="0" w:after="0"/>
              <w:jc w:val="right"/>
              <w:rPr/>
            </w:pPr>
            <w:r>
              <w:rPr/>
              <w:t>​</w:t>
            </w:r>
            <w:r>
              <w:rPr>
                <w:sz w:val="13"/>
              </w:rPr>
              <w:t>(2)</w:t>
            </w:r>
            <w:r>
              <w:rPr>
                <w:sz w:val="15"/>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050" w:type="dxa"/>
            <w:tcBorders/>
            <w:shd w:fill="CCEEFF" w:val="clear"/>
            <w:vAlign w:val="center"/>
          </w:tcPr>
          <w:p>
            <w:pPr>
              <w:pStyle w:val="TableContents"/>
              <w:bidi w:val="0"/>
              <w:spacing w:before="0" w:after="0"/>
              <w:jc w:val="left"/>
              <w:rPr>
                <w:spacing w:val="4"/>
              </w:rPr>
            </w:pPr>
            <w:r>
              <w:rPr>
                <w:spacing w:val="4"/>
              </w:rPr>
              <w:t xml:space="preserve">Printing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0"/>
              <w:jc w:val="right"/>
              <w:rPr/>
            </w:pPr>
            <w:r>
              <w:rPr/>
              <w:t>​</w:t>
            </w:r>
          </w:p>
        </w:tc>
        <w:tc>
          <w:tcPr>
            <w:tcW w:w="931" w:type="dxa"/>
            <w:tcBorders/>
            <w:shd w:fill="CCEEFF" w:val="clear"/>
            <w:vAlign w:val="center"/>
          </w:tcPr>
          <w:p>
            <w:pPr>
              <w:pStyle w:val="TableContents"/>
              <w:bidi w:val="0"/>
              <w:spacing w:before="0" w:after="0"/>
              <w:jc w:val="right"/>
              <w:rPr/>
            </w:pPr>
            <w:r>
              <w:rPr/>
              <w:t>​</w:t>
            </w:r>
            <w:r>
              <w:rPr>
                <w:sz w:val="13"/>
              </w:rPr>
              <w:t>(2)</w:t>
            </w:r>
            <w:r>
              <w:rPr>
                <w:sz w:val="15"/>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050" w:type="dxa"/>
            <w:tcBorders/>
            <w:vAlign w:val="center"/>
          </w:tcPr>
          <w:p>
            <w:pPr>
              <w:pStyle w:val="TableContents"/>
              <w:bidi w:val="0"/>
              <w:spacing w:before="0" w:after="0"/>
              <w:jc w:val="left"/>
              <w:rPr>
                <w:spacing w:val="4"/>
              </w:rPr>
            </w:pPr>
            <w:r>
              <w:rPr>
                <w:spacing w:val="4"/>
              </w:rPr>
              <w:t xml:space="preserve">Rating agency fees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pPr>
            <w:r>
              <w:rPr/>
              <w:t>​</w:t>
            </w:r>
          </w:p>
        </w:tc>
        <w:tc>
          <w:tcPr>
            <w:tcW w:w="931" w:type="dxa"/>
            <w:tcBorders/>
            <w:vAlign w:val="center"/>
          </w:tcPr>
          <w:p>
            <w:pPr>
              <w:pStyle w:val="TableContents"/>
              <w:bidi w:val="0"/>
              <w:spacing w:before="0" w:after="0"/>
              <w:jc w:val="right"/>
              <w:rPr/>
            </w:pPr>
            <w:r>
              <w:rPr/>
              <w:t>​</w:t>
            </w:r>
            <w:r>
              <w:rPr>
                <w:sz w:val="13"/>
              </w:rPr>
              <w:t>(2)</w:t>
            </w:r>
            <w:r>
              <w:rPr>
                <w:sz w:val="15"/>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050"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Miscellaneous fees and expenses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0"/>
              <w:jc w:val="right"/>
              <w:rPr/>
            </w:pPr>
            <w:r>
              <w:rPr/>
              <w:t>​</w:t>
            </w:r>
          </w:p>
        </w:tc>
        <w:tc>
          <w:tcPr>
            <w:tcW w:w="931" w:type="dxa"/>
            <w:tcBorders>
              <w:bottom w:val="single" w:sz="2" w:space="0" w:color="000000"/>
            </w:tcBorders>
            <w:shd w:fill="CCEEFF" w:val="clear"/>
            <w:tcMar>
              <w:bottom w:w="50" w:type="dxa"/>
            </w:tcMar>
            <w:vAlign w:val="center"/>
          </w:tcPr>
          <w:p>
            <w:pPr>
              <w:pStyle w:val="TableContents"/>
              <w:bidi w:val="0"/>
              <w:spacing w:before="0" w:after="0"/>
              <w:jc w:val="right"/>
              <w:rPr/>
            </w:pPr>
            <w:r>
              <w:rPr/>
              <w:t>​</w:t>
            </w:r>
            <w:r>
              <w:rPr>
                <w:sz w:val="13"/>
              </w:rPr>
              <w:t>(2)</w:t>
            </w:r>
            <w:r>
              <w:rPr>
                <w:sz w:val="15"/>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050" w:type="dxa"/>
            <w:tcBorders/>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31" w:type="dxa"/>
            <w:tcBorders>
              <w:bottom w:val="double" w:sz="8" w:space="0" w:color="000000"/>
            </w:tcBorders>
            <w:tcMar>
              <w:bottom w:w="50" w:type="dxa"/>
            </w:tcMar>
            <w:vAlign w:val="center"/>
          </w:tcPr>
          <w:p>
            <w:pPr>
              <w:pStyle w:val="TableContents"/>
              <w:bidi w:val="0"/>
              <w:spacing w:before="0" w:after="283"/>
              <w:jc w:val="right"/>
              <w:rPr/>
            </w:pPr>
            <w:r>
              <w:rPr/>
              <w:t>​</w:t>
            </w:r>
            <w:r>
              <w:rPr>
                <w:sz w:val="13"/>
              </w:rPr>
              <w:t>(2)</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5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 is registering an indeterminate amount of securities under this registration statement and in accordance with Rules 456(b) and 457(r), the Company is deferring payment of any additional registration fee until the time the securities are sold under this registration statement pursuant to a prospectus supplement. </w:t>
      </w:r>
      <w:r>
        <mc:AlternateContent>
          <mc:Choice Requires="wps">
            <w:drawing>
              <wp:anchor behindDoc="0" distT="97790" distB="0" distL="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4"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These fees are calculated based on the number of issuances and amount of securities offered and, accordingly, cannot be estimated at this time. An estimate of the aggregate expenses in connection with the sale and distribution of the securities being offered will be included in the applicable prospectus supplement. </w:t>
      </w:r>
      <w:r>
        <mc:AlternateContent>
          <mc:Choice Requires="wps">
            <w:drawing>
              <wp:anchor behindDoc="0" distT="46990" distB="0" distL="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Item 15.   Indemnification of Directors and Officers.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Acuity Inc., Acuity Brands Lighting, Inc. and Acuity Intelligent Spaces Inc.</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 Acuity Brands Lighting, Inc. (“ABL”) and Acuity Intelligent Spaces Inc. (“AIS”) are corporations organized under the laws of the state of Delaware. The following summary is qualified in its entirety by reference to the complete text of the statute, the Company’s Restated Certificate of Incorporation, as amended, and Amended and Restated Bylaws, ABL’s Amended and Restated Certificate of Incorporation, as amended, and Amended and Restated Bylaws and AIS’s Certificate of Incorporation, as amended, and Amended and Restated Bylaws.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Section 145(a) of the DGCL provides in relevant part that a corporation may indemnify any officer or director who was or is a party or is threatened to be made a party to any threatened, pending, or completed action, suit, or proceeding (other than an action by or in the right of the corporation) by reason of the fact that such person is or was a director or officer of the corporation, or is or was serving at the request of the corporation as a director or officer of another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Section 145(b) of the DGCL provides in relevant part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Company’s, ABL’s and AIS’s bylaws grant their directors and officers a right to indemnification to the fullest extent permitted by the DGCL. In addition, the Company has entered into indemnification agreements with each of its directors and executive officers and expects to enter into similar agreements with any new director or executive officer, which agreements include indemnification for the director or executive officer’s service as a director, officer, employee, agent or fiduciary of a subsidiary of the Company.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Company, ABL and AIS have obtained officers’ and directors’ liability insurance which insures against liabilities that officers and directors of the Company, ABL or AIS may, in such capacities, incur. Section 145(g) of the DGCL provides that 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that section.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QSC, LLC</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QSC, LLC (“QSC”) is a California limited liability company. The following summary is qualified in its entirety by reference to the complete text of the statute and QSC’s operating agreement.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Section 17704 of the California Revised Uniform Limited Liability Company Act provides that a limited liability company shall reimburse for any payment made and indemnify for any debt, obligation, or other liability incurred by a member of a member-managed limited liability company or the manager of a manager-managed limited liability company in the course of the member’s or manager’s activities on behalf of the limited liability company, if, in making the payment or incurring the debt, obligation, or other liability, the member or manager complied with their statutory duties. In addition, subject to any limitations set forth in its operating agreement, a limited liability company may reimburse for any payment made and may indemnify for any debt, obligation, or other liability incurred by any other person, including any officer, in the course of that person’s activities on behalf of the limited liability company. A limited liability company may purchase and maintain insurance on behalf of a member or manager of the limited liability company against liability or any other person asserted against or incurred by the member, manager or other person even if, under the California Revised Uniform Limited Liability Company Act, the operating agreement could not eliminate or limit the person’s liability to the limited liability company for the conduct giving rise to the liability.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QSC’s operating agreement provides that QSC shall, to the fullest extent permitted by the California Revised Uniform Limited Liability Company Act, indemnify and make advances for expenses to any person who was or is a party, or is threatened to be made a party, to any threatened, pending or completed action, suit or proceeding, whether civil, criminal, administrative or investigative, by reason of the fact that they are or were a member, manager, or officer of QSC, against losses, damages, expenses (including attorney’s fees), judgments, fines and amounts reasonably incurred by them in connection with such action, suit or proceeding. </w:t>
      </w:r>
    </w:p>
    <w:p>
      <w:pPr>
        <w:pStyle w:val="TextBody"/>
        <w:bidi w:val="0"/>
        <w:spacing w:lineRule="atLeast" w:line="240" w:before="240" w:after="283"/>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ABL IP Holding LLC</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ABL IP Holding LLC (“IP Holding”) is a Georgia limited liability company. The following summary is qualified in its entirety by reference to the complete text of the statute and IP Holding’s operating agreement.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50" w:before="12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Section 14-11-306 of the Georgia Limited Liability Company Act provides that, subject to such standards and restrictions, if any, as are set forth in the articles of organization or a written operating agreement, a Georgia limited liability company may, and has the power to, indemnify and hold harmless any member or manager or other person from and against any and all claims and demands whatsoever, arising in connection with the limited liability company; </w:t>
      </w:r>
      <w:r>
        <w:rPr>
          <w:rFonts w:ascii="Times New Roman;Times;serif" w:hAnsi="Times New Roman;Times;serif"/>
          <w:b w:val="false"/>
          <w:i/>
          <w:caps w:val="false"/>
          <w:smallCaps w:val="false"/>
          <w:color w:val="000000"/>
          <w:spacing w:val="4"/>
          <w:sz w:val="20"/>
          <w:shd w:fill="FFFFFF" w:val="clear"/>
        </w:rPr>
        <w:t>provided, however</w:t>
      </w:r>
      <w:r>
        <w:rPr>
          <w:rFonts w:ascii="Times New Roman;Times;serif" w:hAnsi="Times New Roman;Times;serif"/>
          <w:b w:val="false"/>
          <w:i w:val="false"/>
          <w:caps w:val="false"/>
          <w:smallCaps w:val="false"/>
          <w:color w:val="000000"/>
          <w:spacing w:val="4"/>
          <w:sz w:val="20"/>
          <w:shd w:fill="FFFFFF" w:val="clear"/>
        </w:rPr>
        <w:t xml:space="preserve">, that no limited liability company shall have the power to indemnify any member or manager for any liability that may not be eliminated or limited by the articles of organization or a written operating agreement by reason of division (4)(A)(i) or (ii) of Code Section 14-11-305.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IP Holding’s operating agreement provides that IP Holding shall indemnify and hold harmless each member, manager, and officer of IP Holding from and against any and all liabilities, actions, claims, demands, losses and expenses whatsoever relating to or arising out of any action, inaction, or omission in connection with managing the business and affairs of IP Holding to the fullest extent permitted by the Georgia Limited Liability Company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Item 16.   Exhibits.</w:t>
      </w:r>
      <w:r>
        <w:rPr>
          <w:rFonts w:ascii="Times New Roman;Times;serif" w:hAnsi="Times New Roman;Time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1201"/>
        <w:gridCol w:w="109"/>
        <w:gridCol w:w="109"/>
        <w:gridCol w:w="7034"/>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20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Exhibit No.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03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100" w:right="0" w:hanging="0"/>
              <w:jc w:val="left"/>
              <w:rPr>
                <w:spacing w:val="4"/>
              </w:rPr>
            </w:pPr>
            <w:r>
              <w:rPr>
                <w:spacing w:val="4"/>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034" w:type="dxa"/>
            <w:tcBorders/>
            <w:tcMar>
              <w:bottom w:w="0" w:type="dxa"/>
            </w:tcMar>
            <w:vAlign w:val="center"/>
          </w:tcPr>
          <w:p>
            <w:pPr>
              <w:pStyle w:val="TableContents"/>
              <w:bidi w:val="0"/>
              <w:spacing w:before="0" w:after="283"/>
              <w:jc w:val="left"/>
              <w:rPr>
                <w:spacing w:val="4"/>
              </w:rPr>
            </w:pPr>
            <w:r>
              <w:rPr>
                <w:spacing w:val="4"/>
              </w:rPr>
              <w:t xml:space="preserve">Form of Underwriting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1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034" w:type="dxa"/>
            <w:tcBorders/>
            <w:tcMar>
              <w:bottom w:w="0" w:type="dxa"/>
            </w:tcMar>
            <w:vAlign w:val="center"/>
          </w:tcPr>
          <w:p>
            <w:pPr>
              <w:pStyle w:val="TableContents"/>
              <w:bidi w:val="0"/>
              <w:spacing w:before="0" w:after="283"/>
              <w:jc w:val="left"/>
              <w:rPr/>
            </w:pPr>
            <w:hyperlink r:id="rId5">
              <w:r>
                <w:rPr>
                  <w:rStyle w:val="InternetLink"/>
                </w:rPr>
                <w:t>Restated Certificate of Incorporation of Acuity Inc., dated as of January 25, 2024 (incorporated by reference from Exhibit 3.2 to the registrant’s Form 8-K as filed with the SEC on January 26, 2024).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1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034" w:type="dxa"/>
            <w:tcBorders/>
            <w:tcMar>
              <w:bottom w:w="0" w:type="dxa"/>
            </w:tcMar>
            <w:vAlign w:val="center"/>
          </w:tcPr>
          <w:p>
            <w:pPr>
              <w:pStyle w:val="TableContents"/>
              <w:bidi w:val="0"/>
              <w:spacing w:before="0" w:after="283"/>
              <w:jc w:val="left"/>
              <w:rPr/>
            </w:pPr>
            <w:hyperlink r:id="rId6">
              <w:r>
                <w:rPr>
                  <w:rStyle w:val="InternetLink"/>
                </w:rPr>
                <w:t>Certificate of Amendment to the Restated Certificate of Incorporation of Acuity Inc., effective as of March 26, 2025 (incorporated by reference from Exhibit 3.1 to the registrant’s Form 8-K as filed with the SEC on March 12, 2025).</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100" w:right="0" w:hanging="0"/>
              <w:jc w:val="left"/>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034" w:type="dxa"/>
            <w:tcBorders/>
            <w:tcMar>
              <w:bottom w:w="0" w:type="dxa"/>
            </w:tcMar>
            <w:vAlign w:val="center"/>
          </w:tcPr>
          <w:p>
            <w:pPr>
              <w:pStyle w:val="TableContents"/>
              <w:bidi w:val="0"/>
              <w:spacing w:before="0" w:after="283"/>
              <w:jc w:val="left"/>
              <w:rPr/>
            </w:pPr>
            <w:hyperlink r:id="rId7">
              <w:r>
                <w:rPr>
                  <w:rStyle w:val="InternetLink"/>
                </w:rPr>
                <w:t>Amended and Restated Bylaws of Acuity Inc., dated as of March 26, 2025 (incorporated by reference from Exhibit 3.3 to the registrant’s Form 8-K as filed with the SEC on March 12, 2025).</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100" w:right="0" w:hanging="0"/>
              <w:jc w:val="left"/>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034" w:type="dxa"/>
            <w:tcBorders/>
            <w:tcMar>
              <w:bottom w:w="0" w:type="dxa"/>
            </w:tcMar>
            <w:vAlign w:val="center"/>
          </w:tcPr>
          <w:p>
            <w:pPr>
              <w:pStyle w:val="TableContents"/>
              <w:bidi w:val="0"/>
              <w:spacing w:before="0" w:after="283"/>
              <w:jc w:val="left"/>
              <w:rPr/>
            </w:pPr>
            <w:hyperlink r:id="rId8">
              <w:r>
                <w:rPr>
                  <w:rStyle w:val="InternetLink"/>
                </w:rPr>
                <w:t>Indenture, dated as of November 10, 2020, between Acuity Brands Lighting, Inc. and U.S. Bank Trust Company, National Association, as successor to U.S. Bank National Association, as trustee (incorporated by reference from Exhibit 4.1 to the registrant’s Form 8-K as filed with the SEC on November 10, 2020).</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100" w:right="0" w:hanging="0"/>
              <w:jc w:val="left"/>
              <w:rPr>
                <w:spacing w:val="4"/>
              </w:rPr>
            </w:pPr>
            <w:r>
              <w:rPr>
                <w:spacing w:val="4"/>
              </w:rPr>
              <w:t xml:space="preserve">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034" w:type="dxa"/>
            <w:tcBorders/>
            <w:tcMar>
              <w:bottom w:w="0" w:type="dxa"/>
            </w:tcMar>
            <w:vAlign w:val="center"/>
          </w:tcPr>
          <w:p>
            <w:pPr>
              <w:pStyle w:val="TableContents"/>
              <w:bidi w:val="0"/>
              <w:spacing w:before="0" w:after="283"/>
              <w:jc w:val="left"/>
              <w:rPr/>
            </w:pPr>
            <w:hyperlink r:id="rId9">
              <w:r>
                <w:rPr>
                  <w:rStyle w:val="InternetLink"/>
                </w:rPr>
                <w:t>Indenture, dated as of July 28, 2025, among Acuity Inc., Acuity Brands Lighting, Inc., ABL IP Holding LLC, Acuity Intelligent Spaces Inc., QSC, LLC and U.S. Bank Trust Company, National Association, as trustee (incorporated by reference from Exhibit 4.10 to the registrant’s Post-Effective Amendment No. 1 to the Registration Statement on Form S-3 as filed with the SEC on July 28, 2025).</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100" w:right="0" w:hanging="0"/>
              <w:jc w:val="left"/>
              <w:rPr>
                <w:spacing w:val="4"/>
              </w:rPr>
            </w:pPr>
            <w:r>
              <w:rPr>
                <w:spacing w:val="4"/>
              </w:rPr>
              <w:t xml:space="preserve">4.6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034" w:type="dxa"/>
            <w:tcBorders/>
            <w:tcMar>
              <w:bottom w:w="0" w:type="dxa"/>
            </w:tcMar>
            <w:vAlign w:val="center"/>
          </w:tcPr>
          <w:p>
            <w:pPr>
              <w:pStyle w:val="TableContents"/>
              <w:bidi w:val="0"/>
              <w:spacing w:before="0" w:after="0"/>
              <w:jc w:val="left"/>
              <w:rPr/>
            </w:pPr>
            <w:hyperlink r:id="rId10">
              <w:r>
                <w:rPr>
                  <w:rStyle w:val="InternetLink"/>
                  <w:spacing w:val="4"/>
                </w:rPr>
                <w:t>Form of Certificate representing Acuity Inc. Common Stock (incorporated by reference from Exhibit 4.1 to the registrant’s Form 8-K as filed with the SEC on December 14, 2001).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100" w:right="0" w:hanging="0"/>
              <w:jc w:val="left"/>
              <w:rPr>
                <w:spacing w:val="4"/>
              </w:rPr>
            </w:pPr>
            <w:r>
              <w:rPr>
                <w:spacing w:val="4"/>
              </w:rPr>
              <w:t xml:space="preserve">4.7*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034" w:type="dxa"/>
            <w:tcBorders/>
            <w:tcMar>
              <w:bottom w:w="0" w:type="dxa"/>
            </w:tcMar>
            <w:vAlign w:val="center"/>
          </w:tcPr>
          <w:p>
            <w:pPr>
              <w:pStyle w:val="TableContents"/>
              <w:bidi w:val="0"/>
              <w:spacing w:before="0" w:after="283"/>
              <w:jc w:val="left"/>
              <w:rPr>
                <w:spacing w:val="4"/>
              </w:rPr>
            </w:pPr>
            <w:r>
              <w:rPr>
                <w:spacing w:val="4"/>
              </w:rPr>
              <w:t xml:space="preserve">Form of Depositary Agreement (including form of Depositary Receipt).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100" w:right="0" w:hanging="0"/>
              <w:jc w:val="left"/>
              <w:rPr>
                <w:spacing w:val="4"/>
              </w:rPr>
            </w:pPr>
            <w:r>
              <w:rPr>
                <w:spacing w:val="4"/>
              </w:rPr>
              <w:t xml:space="preserve">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034" w:type="dxa"/>
            <w:tcBorders/>
            <w:tcMar>
              <w:bottom w:w="0" w:type="dxa"/>
            </w:tcMar>
            <w:vAlign w:val="center"/>
          </w:tcPr>
          <w:p>
            <w:pPr>
              <w:pStyle w:val="TableContents"/>
              <w:bidi w:val="0"/>
              <w:spacing w:before="0" w:after="0"/>
              <w:jc w:val="left"/>
              <w:rPr/>
            </w:pPr>
            <w:hyperlink r:id="rId11">
              <w:r>
                <w:rPr>
                  <w:rStyle w:val="InternetLink"/>
                  <w:spacing w:val="4"/>
                </w:rPr>
                <w:t>Form of Acuity Brands Lighting, Inc. Debt Security (included in Exhibit 4.4).</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100" w:right="0" w:hanging="0"/>
              <w:jc w:val="left"/>
              <w:rPr>
                <w:spacing w:val="4"/>
              </w:rPr>
            </w:pPr>
            <w:r>
              <w:rPr>
                <w:spacing w:val="4"/>
              </w:rPr>
              <w:t xml:space="preserve">4.9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034" w:type="dxa"/>
            <w:tcBorders/>
            <w:tcMar>
              <w:bottom w:w="0" w:type="dxa"/>
            </w:tcMar>
            <w:vAlign w:val="center"/>
          </w:tcPr>
          <w:p>
            <w:pPr>
              <w:pStyle w:val="TableContents"/>
              <w:bidi w:val="0"/>
              <w:spacing w:before="0" w:after="0"/>
              <w:jc w:val="left"/>
              <w:rPr/>
            </w:pPr>
            <w:hyperlink r:id="rId12">
              <w:r>
                <w:rPr>
                  <w:rStyle w:val="InternetLink"/>
                  <w:spacing w:val="4"/>
                </w:rPr>
                <w:t>Form of Acuity Inc. Debt Security (included in Exhibit 4.5).</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1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034" w:type="dxa"/>
            <w:tcBorders/>
            <w:tcMar>
              <w:bottom w:w="0" w:type="dxa"/>
            </w:tcMar>
            <w:vAlign w:val="center"/>
          </w:tcPr>
          <w:p>
            <w:pPr>
              <w:pStyle w:val="TableContents"/>
              <w:bidi w:val="0"/>
              <w:spacing w:before="0" w:after="0"/>
              <w:jc w:val="left"/>
              <w:rPr/>
            </w:pPr>
            <w:hyperlink w:anchor="tm2627553d2_ex5-1.htm">
              <w:r>
                <w:rPr>
                  <w:rStyle w:val="InternetLink"/>
                  <w:spacing w:val="4"/>
                </w:rPr>
                <w:t>Opinion of Foley &amp; Lardner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034" w:type="dxa"/>
            <w:tcBorders/>
            <w:tcMar>
              <w:bottom w:w="0" w:type="dxa"/>
            </w:tcMar>
            <w:vAlign w:val="center"/>
          </w:tcPr>
          <w:p>
            <w:pPr>
              <w:pStyle w:val="TableContents"/>
              <w:bidi w:val="0"/>
              <w:spacing w:before="0" w:after="0"/>
              <w:jc w:val="left"/>
              <w:rPr/>
            </w:pPr>
            <w:hyperlink w:anchor="tm2627553d2_ex23-1.htm">
              <w:r>
                <w:rPr>
                  <w:rStyle w:val="InternetLink"/>
                  <w:spacing w:val="4"/>
                </w:rPr>
                <w:t>Consent of Ernst &amp; Young LLP, independent registered public accounting firm.</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034" w:type="dxa"/>
            <w:tcBorders/>
            <w:tcMar>
              <w:bottom w:w="0" w:type="dxa"/>
            </w:tcMar>
            <w:vAlign w:val="center"/>
          </w:tcPr>
          <w:p>
            <w:pPr>
              <w:pStyle w:val="TableContents"/>
              <w:bidi w:val="0"/>
              <w:spacing w:before="0" w:after="0"/>
              <w:jc w:val="left"/>
              <w:rPr/>
            </w:pPr>
            <w:hyperlink w:anchor="tm2627553d2_ex5-1.htm">
              <w:r>
                <w:rPr>
                  <w:rStyle w:val="InternetLink"/>
                  <w:spacing w:val="4"/>
                </w:rPr>
                <w:t>Consent of Foley &amp; Lardner LLP (included in Exhibit 5.1 hereto).</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034" w:type="dxa"/>
            <w:tcBorders/>
            <w:tcMar>
              <w:bottom w:w="0" w:type="dxa"/>
            </w:tcMar>
            <w:vAlign w:val="center"/>
          </w:tcPr>
          <w:p>
            <w:pPr>
              <w:pStyle w:val="TableContents"/>
              <w:bidi w:val="0"/>
              <w:spacing w:before="0" w:after="0"/>
              <w:jc w:val="left"/>
              <w:rPr/>
            </w:pPr>
            <w:hyperlink w:anchor="tSIG1">
              <w:r>
                <w:rPr>
                  <w:rStyle w:val="InternetLink"/>
                  <w:spacing w:val="4"/>
                </w:rPr>
                <w:t>Powers of Attorney of Acuity Inc. (included on the signature pages hereto).</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jc w:val="left"/>
              <w:rPr>
                <w:spacing w:val="4"/>
              </w:rPr>
            </w:pPr>
            <w:r>
              <w:rPr>
                <w:spacing w:val="4"/>
              </w:rPr>
              <w:t xml:space="preserve">24.2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034" w:type="dxa"/>
            <w:tcBorders/>
            <w:tcMar>
              <w:bottom w:w="0" w:type="dxa"/>
            </w:tcMar>
            <w:vAlign w:val="center"/>
          </w:tcPr>
          <w:p>
            <w:pPr>
              <w:pStyle w:val="TableContents"/>
              <w:bidi w:val="0"/>
              <w:spacing w:before="0" w:after="0"/>
              <w:jc w:val="left"/>
              <w:rPr/>
            </w:pPr>
            <w:hyperlink w:anchor="tSIG2">
              <w:r>
                <w:rPr>
                  <w:rStyle w:val="InternetLink"/>
                  <w:spacing w:val="4"/>
                </w:rPr>
                <w:t>Powers of Attorney of Acuity Brands Lighting, Inc. (included on the signature pages hereto).</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jc w:val="left"/>
              <w:rPr>
                <w:spacing w:val="4"/>
              </w:rPr>
            </w:pPr>
            <w:r>
              <w:rPr>
                <w:spacing w:val="4"/>
              </w:rPr>
              <w:t xml:space="preserve">24.3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034" w:type="dxa"/>
            <w:tcBorders/>
            <w:tcMar>
              <w:bottom w:w="0" w:type="dxa"/>
            </w:tcMar>
            <w:vAlign w:val="center"/>
          </w:tcPr>
          <w:p>
            <w:pPr>
              <w:pStyle w:val="TableContents"/>
              <w:bidi w:val="0"/>
              <w:spacing w:before="0" w:after="0"/>
              <w:jc w:val="left"/>
              <w:rPr/>
            </w:pPr>
            <w:hyperlink w:anchor="tSIG3">
              <w:r>
                <w:rPr>
                  <w:rStyle w:val="InternetLink"/>
                  <w:spacing w:val="4"/>
                </w:rPr>
                <w:t>Powers of Attorney of Acuity Intelligent Spaces Inc. (included on the signature pages hereto).</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jc w:val="left"/>
              <w:rPr>
                <w:spacing w:val="4"/>
              </w:rPr>
            </w:pPr>
            <w:r>
              <w:rPr>
                <w:spacing w:val="4"/>
              </w:rPr>
              <w:t xml:space="preserve">24.4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034" w:type="dxa"/>
            <w:tcBorders/>
            <w:tcMar>
              <w:bottom w:w="0" w:type="dxa"/>
            </w:tcMar>
            <w:vAlign w:val="center"/>
          </w:tcPr>
          <w:p>
            <w:pPr>
              <w:pStyle w:val="TableContents"/>
              <w:bidi w:val="0"/>
              <w:spacing w:before="0" w:after="0"/>
              <w:jc w:val="left"/>
              <w:rPr/>
            </w:pPr>
            <w:hyperlink w:anchor="tSIG4">
              <w:r>
                <w:rPr>
                  <w:rStyle w:val="InternetLink"/>
                  <w:spacing w:val="4"/>
                </w:rPr>
                <w:t>Powers of Attorney of QSC, LLC (included on the signature pages hereto).</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jc w:val="left"/>
              <w:rPr>
                <w:spacing w:val="4"/>
              </w:rPr>
            </w:pPr>
            <w:r>
              <w:rPr>
                <w:spacing w:val="4"/>
              </w:rPr>
              <w:t xml:space="preserve">24.5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034" w:type="dxa"/>
            <w:tcBorders/>
            <w:tcMar>
              <w:bottom w:w="0" w:type="dxa"/>
            </w:tcMar>
            <w:vAlign w:val="center"/>
          </w:tcPr>
          <w:p>
            <w:pPr>
              <w:pStyle w:val="TableContents"/>
              <w:bidi w:val="0"/>
              <w:spacing w:before="0" w:after="0"/>
              <w:jc w:val="left"/>
              <w:rPr/>
            </w:pPr>
            <w:hyperlink w:anchor="tSIG5">
              <w:r>
                <w:rPr>
                  <w:rStyle w:val="InternetLink"/>
                  <w:spacing w:val="4"/>
                </w:rPr>
                <w:t>Powers of Attorney of ABL IP Holding LLC (included on the signature pages hereto).</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1215"/>
        <w:gridCol w:w="109"/>
        <w:gridCol w:w="109"/>
        <w:gridCol w:w="7020"/>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21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Exhibit No.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02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15" w:type="dxa"/>
            <w:tcBorders/>
            <w:tcMar>
              <w:bottom w:w="0" w:type="dxa"/>
            </w:tcMar>
            <w:vAlign w:val="center"/>
          </w:tcPr>
          <w:p>
            <w:pPr>
              <w:pStyle w:val="TableContents"/>
              <w:bidi w:val="0"/>
              <w:spacing w:before="0" w:after="283"/>
              <w:jc w:val="left"/>
              <w:rPr>
                <w:spacing w:val="4"/>
              </w:rPr>
            </w:pPr>
            <w:r>
              <w:rPr>
                <w:spacing w:val="4"/>
              </w:rPr>
              <w:t xml:space="preserve">25.1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020" w:type="dxa"/>
            <w:tcBorders/>
            <w:tcMar>
              <w:bottom w:w="0" w:type="dxa"/>
            </w:tcMar>
            <w:vAlign w:val="center"/>
          </w:tcPr>
          <w:p>
            <w:pPr>
              <w:pStyle w:val="TableContents"/>
              <w:bidi w:val="0"/>
              <w:spacing w:before="0" w:after="0"/>
              <w:jc w:val="left"/>
              <w:rPr/>
            </w:pPr>
            <w:hyperlink w:anchor="tm2627553d2_ex25-1.htm">
              <w:r>
                <w:rPr>
                  <w:rStyle w:val="InternetLink"/>
                  <w:spacing w:val="4"/>
                </w:rPr>
                <w:t>Statement of Eligibility of Trustee on Form T-1 of U.S. Bank Trust Company, National Association, as trustee under the indenture dated November 10, 2020.</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15" w:type="dxa"/>
            <w:tcBorders/>
            <w:tcMar>
              <w:bottom w:w="0" w:type="dxa"/>
            </w:tcMar>
            <w:vAlign w:val="center"/>
          </w:tcPr>
          <w:p>
            <w:pPr>
              <w:pStyle w:val="TableContents"/>
              <w:bidi w:val="0"/>
              <w:spacing w:before="0" w:after="283"/>
              <w:jc w:val="left"/>
              <w:rPr>
                <w:spacing w:val="4"/>
              </w:rPr>
            </w:pPr>
            <w:r>
              <w:rPr>
                <w:spacing w:val="4"/>
              </w:rPr>
              <w:t xml:space="preserve">25.2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020" w:type="dxa"/>
            <w:tcBorders/>
            <w:tcMar>
              <w:bottom w:w="0" w:type="dxa"/>
            </w:tcMar>
            <w:vAlign w:val="center"/>
          </w:tcPr>
          <w:p>
            <w:pPr>
              <w:pStyle w:val="TableContents"/>
              <w:bidi w:val="0"/>
              <w:spacing w:before="0" w:after="0"/>
              <w:jc w:val="left"/>
              <w:rPr/>
            </w:pPr>
            <w:hyperlink w:anchor="tm2627553d2_ex25-2.htm">
              <w:r>
                <w:rPr>
                  <w:rStyle w:val="InternetLink"/>
                  <w:spacing w:val="4"/>
                </w:rPr>
                <w:t>Statement of Eligibility of Trustee on Form T-1 of U.S. Bank Trust Company, National Association, as trustee under the indenture dated July 28, 2025.</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15" w:type="dxa"/>
            <w:tcBorders/>
            <w:tcMar>
              <w:bottom w:w="0" w:type="dxa"/>
            </w:tcMar>
            <w:vAlign w:val="center"/>
          </w:tcPr>
          <w:p>
            <w:pPr>
              <w:pStyle w:val="TableContents"/>
              <w:bidi w:val="0"/>
              <w:spacing w:before="0" w:after="283"/>
              <w:jc w:val="left"/>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020" w:type="dxa"/>
            <w:tcBorders/>
            <w:tcMar>
              <w:bottom w:w="0" w:type="dxa"/>
            </w:tcMar>
            <w:vAlign w:val="center"/>
          </w:tcPr>
          <w:p>
            <w:pPr>
              <w:pStyle w:val="TableContents"/>
              <w:bidi w:val="0"/>
              <w:spacing w:before="0" w:after="0"/>
              <w:jc w:val="left"/>
              <w:rPr/>
            </w:pPr>
            <w:hyperlink w:anchor="tm2627553d1_ex-filingfees.htm">
              <w:r>
                <w:rPr>
                  <w:rStyle w:val="InternetLink"/>
                  <w:spacing w:val="4"/>
                </w:rPr>
                <w:t>Filing Fee Table.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58"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be filed, if necessary, by amendment to this registration statement or as an exhibit to a Current Report on Form 8-K or other report filed by the Company and incorporated by reference herein. </w:t>
      </w:r>
      <w:r>
        <mc:AlternateContent>
          <mc:Choice Requires="wps">
            <w:drawing>
              <wp:anchor behindDoc="0" distT="100330" distB="0" distL="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Item 17.   Undertakings.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of the undersigned registrants hereby undertakes: </w:t>
      </w:r>
    </w:p>
    <w:p>
      <w:pPr>
        <w:pStyle w:val="TextBody"/>
        <w:bidi w:val="0"/>
        <w:spacing w:lineRule="atLeast" w:line="240" w:before="15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file, during any period in which offers or sales are being made, a post-effective amendment to this registration statement: </w:t>
      </w:r>
      <w:r>
        <mc:AlternateContent>
          <mc:Choice Requires="wps">
            <w:drawing>
              <wp:anchor behindDoc="0" distT="100330" distB="0" distL="25400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include any prospectus required by Section 10(a)(3) of the Securities Act; </w:t>
      </w:r>
      <w:r>
        <mc:AlternateContent>
          <mc:Choice Requires="wps">
            <w:drawing>
              <wp:anchor behindDoc="0" distT="100330" distB="0" distL="50800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Filing Fee Tables” in the effective registration statement; </w:t>
      </w:r>
      <w:r>
        <mc:AlternateContent>
          <mc:Choice Requires="wps">
            <w:drawing>
              <wp:anchor behindDoc="0" distT="100330" distB="0" distL="50800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include any material information with respect to the plan of distribution not previously disclosed in the registration statement or any material change to such information in the registration statement; </w:t>
      </w:r>
      <w:r>
        <mc:AlternateContent>
          <mc:Choice Requires="wps">
            <w:drawing>
              <wp:anchor behindDoc="0" distT="101600" distB="0" distL="508000" distR="0" simplePos="0" locked="0" layoutInCell="1" allowOverlap="1" relativeHeight="95">
                <wp:simplePos x="0" y="0"/>
                <wp:positionH relativeFrom="column">
                  <wp:align>left</wp:align>
                </wp:positionH>
                <wp:positionV relativeFrom="line">
                  <wp:align>top</wp:align>
                </wp:positionV>
                <wp:extent cx="254000" cy="525780"/>
                <wp:effectExtent l="0" t="0" r="0" b="0"/>
                <wp:wrapSquare wrapText="right"/>
                <wp:docPr id="84" name="Frame8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paragraphs (1)(i), (1)(ii) and (1)(iii) do not apply if the information required to be included in a post-effective amendment by those paragraphs is contained in reports filed with or furnished to the SEC by such registrant pursuant to Section 13 or Section 15(d) of the Exchange Act, that are incorporated by reference in the registration statement, or is contained in a form of prospectus filed pursuant to Rule 424(b) that is part of the registration statement. </w:t>
      </w:r>
    </w:p>
    <w:p>
      <w:pPr>
        <w:pStyle w:val="TextBody"/>
        <w:bidi w:val="0"/>
        <w:spacing w:lineRule="atLeast" w:line="240" w:before="16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01600" distB="0" distL="25400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remove from registration by means of a post-effective amendment any of the securities being registered which remain unsold at the termination of the offering. </w:t>
      </w:r>
      <w:r>
        <mc:AlternateContent>
          <mc:Choice Requires="wps">
            <w:drawing>
              <wp:anchor behindDoc="0" distT="101600" distB="0" distL="25400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That, for the purpose of determining liability under the Securities Act to any purchaser: </w:t>
      </w:r>
      <w:r>
        <mc:AlternateContent>
          <mc:Choice Requires="wps">
            <w:drawing>
              <wp:anchor behindDoc="0" distT="101600" distB="0" distL="25400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prospectus filed by such registrant pursuant to Rule 424(b)(3) shall be deemed to be part of the registration statement as of the date the filed prospectus was deemed part of and included in the registration statement; and </w:t>
      </w:r>
      <w:r>
        <mc:AlternateContent>
          <mc:Choice Requires="wps">
            <w:drawing>
              <wp:anchor behindDoc="0" distT="101600" distB="0" distL="50800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w:t>
      </w:r>
      <w:r>
        <mc:AlternateContent>
          <mc:Choice Requires="wps">
            <w:drawing>
              <wp:anchor behindDoc="0" distT="101600" distB="0" distL="50800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880"/>
        <w:ind w:left="26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lineRule="atLeast" w:line="240" w:before="16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That, for the purpose of determining liability of such registrant under the Securities Act to any purchaser in the initial distribution of the securities in a primary offering of securities of such registrant pursuant to this registration statement, regardless of the underwriting method used to sell the securities to the purchaser, if the securities are offered or sold to such purchaser by means of any of the following communications, such registrant will be a seller to the purchaser and will be considered to offer or sell such securities to such purchaser: </w:t>
      </w:r>
      <w:r>
        <mc:AlternateContent>
          <mc:Choice Requires="wps">
            <w:drawing>
              <wp:anchor behindDoc="0" distT="101600" distB="0" distL="25400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preliminary prospectus or prospectus of such registrant relating to the offering required to be filed pursuant to Rule 424; </w:t>
      </w:r>
      <w:r>
        <mc:AlternateContent>
          <mc:Choice Requires="wps">
            <w:drawing>
              <wp:anchor behindDoc="0" distT="101600" distB="0" distL="50800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free writing prospectus relating to the offering prepared by or on behalf of such registrant or used or referred to by such registrant; </w:t>
      </w:r>
      <w:r>
        <mc:AlternateContent>
          <mc:Choice Requires="wps">
            <w:drawing>
              <wp:anchor behindDoc="0" distT="101600" distB="0" distL="50800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portion of any other free writing prospectus relating to the offering containing material information about such registrant or its securities provided by or on behalf of such registrant; and </w:t>
      </w:r>
      <w:r>
        <mc:AlternateContent>
          <mc:Choice Requires="wps">
            <w:drawing>
              <wp:anchor behindDoc="0" distT="101600" distB="0" distL="508000" distR="0" simplePos="0" locked="0" layoutInCell="1" allowOverlap="1" relativeHeight="104">
                <wp:simplePos x="0" y="0"/>
                <wp:positionH relativeFrom="column">
                  <wp:align>left</wp:align>
                </wp:positionH>
                <wp:positionV relativeFrom="line">
                  <wp:align>top</wp:align>
                </wp:positionV>
                <wp:extent cx="254000" cy="525780"/>
                <wp:effectExtent l="0" t="0" r="0" b="0"/>
                <wp:wrapSquare wrapText="right"/>
                <wp:docPr id="93" name="Frame9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other communication that is an offer in the offering made by such registrant to the purchaser. </w:t>
      </w:r>
      <w:r>
        <mc:AlternateContent>
          <mc:Choice Requires="wps">
            <w:drawing>
              <wp:anchor behindDoc="0" distT="101600" distB="0" distL="508000" distR="0" simplePos="0" locked="0" layoutInCell="1" allowOverlap="1" relativeHeight="105">
                <wp:simplePos x="0" y="0"/>
                <wp:positionH relativeFrom="column">
                  <wp:align>left</wp:align>
                </wp:positionH>
                <wp:positionV relativeFrom="line">
                  <wp:align>top</wp:align>
                </wp:positionV>
                <wp:extent cx="254000" cy="525780"/>
                <wp:effectExtent l="0" t="0" r="0" b="0"/>
                <wp:wrapSquare wrapText="right"/>
                <wp:docPr id="94" name="Frame9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That, for purposes of determining any liability under the Securities Act, each filing of such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01600" distB="0" distL="25400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Insofar as indemnification for liabilities arising under the Securities Act may be permitted to directors, officers and controlling persons of such registrant pursuant to the foregoing provisions, or otherwise, such registrant has been advised that in the opinion of the SEC such indemnification is against public policy as expressed in the Securities Act and is, therefore, unenforceable. In the event that a claim for indemnification against such liabilities (other than the payment by such registrant of expenses incurred or paid by a director, officer or controlling person of such registrant in the successful defense of any action, suit or proceeding) is asserted by such director,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7" w:name="tSIG1"/>
      <w:bookmarkEnd w:id="1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SIGNATURES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Atlanta, State of Georgia, on October 23, 2026. </w:t>
      </w:r>
    </w:p>
    <w:p>
      <w:pPr>
        <w:pStyle w:val="TextBody"/>
        <w:bidi w:val="0"/>
        <w:spacing w:lineRule="atLeast" w:line="240" w:before="240" w:after="283"/>
        <w:ind w:left="5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Acuity Inc.</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0"/>
        <w:ind w:left="6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 Karen J. Holcom </w:t>
      </w:r>
      <w:r>
        <mc:AlternateContent>
          <mc:Choice Requires="wps">
            <w:drawing>
              <wp:anchor behindDoc="0" distT="101600" distB="0" distL="2794000" distR="0" simplePos="0" locked="0" layoutInCell="1" allowOverlap="1" relativeHeight="107">
                <wp:simplePos x="0" y="0"/>
                <wp:positionH relativeFrom="column">
                  <wp:align>left</wp:align>
                </wp:positionH>
                <wp:positionV relativeFrom="line">
                  <wp:align>top</wp:align>
                </wp:positionV>
                <wp:extent cx="254000" cy="525780"/>
                <wp:effectExtent l="0" t="0" r="0" b="0"/>
                <wp:wrapSquare wrapText="right"/>
                <wp:docPr id="96" name="Frame9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6.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ind w:left="62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42" w:after="0"/>
        <w:ind w:left="687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Karen J. Holcom </w:t>
      </w:r>
      <w:r>
        <mc:AlternateContent>
          <mc:Choice Requires="wps">
            <w:drawing>
              <wp:anchor behindDoc="0" distT="26670" distB="0" distL="3048000" distR="0" simplePos="0" locked="0" layoutInCell="1" allowOverlap="1" relativeHeight="108">
                <wp:simplePos x="0" y="0"/>
                <wp:positionH relativeFrom="column">
                  <wp:align>left</wp:align>
                </wp:positionH>
                <wp:positionV relativeFrom="line">
                  <wp:align>top</wp:align>
                </wp:positionV>
                <wp:extent cx="406400" cy="525780"/>
                <wp:effectExtent l="0" t="0" r="0" b="0"/>
                <wp:wrapSquare wrapText="right"/>
                <wp:docPr id="97" name="Frame96"/>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2.1pt;mso-wrap-distance-bottom:0pt;margin-top:2.1pt;mso-position-vertical:top;mso-position-vertical-relative:text;margin-left:24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 w:after="0"/>
        <w:ind w:left="687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Senior Vice President and Chief Financial Officer </w:t>
      </w:r>
      <w:r>
        <mc:AlternateContent>
          <mc:Choice Requires="wps">
            <w:drawing>
              <wp:anchor behindDoc="0" distT="1270" distB="0" distL="3048000" distR="0" simplePos="0" locked="0" layoutInCell="1" allowOverlap="1" relativeHeight="109">
                <wp:simplePos x="0" y="0"/>
                <wp:positionH relativeFrom="column">
                  <wp:align>left</wp:align>
                </wp:positionH>
                <wp:positionV relativeFrom="line">
                  <wp:align>top</wp:align>
                </wp:positionV>
                <wp:extent cx="4064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1pt;mso-wrap-distance-bottom:0pt;margin-top:0.1pt;mso-position-vertical:top;mso-position-vertical-relative:text;margin-left:162.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KNOW ALL PERSONS BY THESE PRESENTS, that each of the undersigned hereby constitutes and appoints Neil M. Ashe and Karen J. Holcom, and each of them individually, his or her true and lawful attorneys-in-fact (with full power of substitution and resubstitution) to act for him or her in his or her name, place, and stead in his or her capacity as a director or officer of Acuity Inc., to sign, execute and file this registration statement under the Securities Act of 1933, as amended, and any or all amendments (including, without limitation, post-effective amendments), with all exhibits and any and all documents required to be filed with respect thereto, with the Securities and Exchange Commission or any regulatory authority,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requirements of the Securities Act of 1933, as amended, this registration statement has been signed by the following persons in the capacities indicated on October 23, 2026. </w:t>
      </w:r>
    </w:p>
    <w:tbl>
      <w:tblPr>
        <w:tblW w:w="8732" w:type="dxa"/>
        <w:jc w:val="left"/>
        <w:tblInd w:w="1433" w:type="dxa"/>
        <w:tblLayout w:type="fixed"/>
        <w:tblCellMar>
          <w:top w:w="0" w:type="dxa"/>
          <w:left w:w="0" w:type="dxa"/>
          <w:bottom w:w="28" w:type="dxa"/>
          <w:right w:w="0" w:type="dxa"/>
        </w:tblCellMar>
      </w:tblPr>
      <w:tblGrid>
        <w:gridCol w:w="124"/>
        <w:gridCol w:w="2706"/>
        <w:gridCol w:w="109"/>
        <w:gridCol w:w="109"/>
        <w:gridCol w:w="5529"/>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70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52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06" w:type="dxa"/>
            <w:tcBorders/>
            <w:tcMar>
              <w:bottom w:w="0" w:type="dxa"/>
            </w:tcMar>
            <w:vAlign w:val="center"/>
          </w:tcPr>
          <w:p>
            <w:pPr>
              <w:pStyle w:val="TableContents"/>
              <w:bidi w:val="0"/>
              <w:spacing w:before="0" w:after="0"/>
              <w:jc w:val="center"/>
              <w:rPr/>
            </w:pPr>
            <w:r>
              <w:rPr>
                <w:spacing w:val="4"/>
              </w:rPr>
              <w:t>/s/ Neil M. Ashe</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Neil M. Ashe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29" w:type="dxa"/>
            <w:tcBorders/>
            <w:tcMar>
              <w:bottom w:w="0" w:type="dxa"/>
            </w:tcMar>
            <w:vAlign w:val="center"/>
          </w:tcPr>
          <w:p>
            <w:pPr>
              <w:pStyle w:val="TableContents"/>
              <w:bidi w:val="0"/>
              <w:spacing w:before="0" w:after="0"/>
              <w:jc w:val="center"/>
              <w:rPr/>
            </w:pPr>
            <w:r>
              <w:rPr>
                <w:spacing w:val="4"/>
              </w:rPr>
              <w:t>Chairman, President, Chief Executive Officer, and Director</w:t>
            </w:r>
            <w:r>
              <w:rPr/>
              <w:t xml:space="preserve"> </w:t>
              <w:br/>
            </w:r>
            <w:r>
              <w:rPr>
                <w:spacing w:val="4"/>
              </w:rPr>
              <w:t xml:space="preserve">(Principal Executive Officer)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06" w:type="dxa"/>
            <w:tcBorders/>
            <w:tcMar>
              <w:bottom w:w="0" w:type="dxa"/>
            </w:tcMar>
            <w:vAlign w:val="center"/>
          </w:tcPr>
          <w:p>
            <w:pPr>
              <w:pStyle w:val="TableContents"/>
              <w:bidi w:val="0"/>
              <w:spacing w:before="0" w:after="0"/>
              <w:jc w:val="center"/>
              <w:rPr/>
            </w:pPr>
            <w:r>
              <w:rPr>
                <w:spacing w:val="4"/>
              </w:rPr>
              <w:t>/s/ Karen J. Holcom</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Karen J. Holcom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29" w:type="dxa"/>
            <w:tcBorders/>
            <w:tcMar>
              <w:bottom w:w="0" w:type="dxa"/>
            </w:tcMar>
            <w:vAlign w:val="center"/>
          </w:tcPr>
          <w:p>
            <w:pPr>
              <w:pStyle w:val="TableContents"/>
              <w:bidi w:val="0"/>
              <w:spacing w:before="0" w:after="0"/>
              <w:jc w:val="center"/>
              <w:rPr/>
            </w:pPr>
            <w:r>
              <w:rPr>
                <w:spacing w:val="4"/>
              </w:rPr>
              <w:t>Senior Vice President and Chief Financial Officer</w:t>
            </w:r>
            <w:r>
              <w:rPr/>
              <w:t xml:space="preserve"> </w:t>
              <w:br/>
            </w:r>
            <w:r>
              <w:rPr>
                <w:spacing w:val="4"/>
              </w:rPr>
              <w:t xml:space="preserve">(Principal Financial and Accounting Officer)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06" w:type="dxa"/>
            <w:tcBorders/>
            <w:tcMar>
              <w:bottom w:w="0" w:type="dxa"/>
            </w:tcMar>
            <w:vAlign w:val="center"/>
          </w:tcPr>
          <w:p>
            <w:pPr>
              <w:pStyle w:val="TableContents"/>
              <w:bidi w:val="0"/>
              <w:spacing w:before="0" w:after="0"/>
              <w:jc w:val="center"/>
              <w:rPr/>
            </w:pPr>
            <w:r>
              <w:rPr>
                <w:spacing w:val="4"/>
              </w:rPr>
              <w:t>/s/ Marcia J. Avedon, Ph.D.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Marcia J. Avedon,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29"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06" w:type="dxa"/>
            <w:tcBorders/>
            <w:tcMar>
              <w:bottom w:w="0" w:type="dxa"/>
            </w:tcMar>
            <w:vAlign w:val="center"/>
          </w:tcPr>
          <w:p>
            <w:pPr>
              <w:pStyle w:val="TableContents"/>
              <w:bidi w:val="0"/>
              <w:spacing w:before="0" w:after="0"/>
              <w:jc w:val="center"/>
              <w:rPr/>
            </w:pPr>
            <w:r>
              <w:rPr>
                <w:spacing w:val="4"/>
              </w:rPr>
              <w:t>/s/ W. Patrick Battle</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W. Patrick Battle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29"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06" w:type="dxa"/>
            <w:tcBorders/>
            <w:tcMar>
              <w:bottom w:w="0" w:type="dxa"/>
            </w:tcMar>
            <w:vAlign w:val="center"/>
          </w:tcPr>
          <w:p>
            <w:pPr>
              <w:pStyle w:val="TableContents"/>
              <w:bidi w:val="0"/>
              <w:spacing w:before="0" w:after="0"/>
              <w:jc w:val="center"/>
              <w:rPr/>
            </w:pPr>
            <w:r>
              <w:rPr>
                <w:spacing w:val="4"/>
              </w:rPr>
              <w:t>/s/ Michael J. Bender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Michael J. Bender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29"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06" w:type="dxa"/>
            <w:tcBorders/>
            <w:tcMar>
              <w:bottom w:w="0" w:type="dxa"/>
            </w:tcMar>
            <w:vAlign w:val="center"/>
          </w:tcPr>
          <w:p>
            <w:pPr>
              <w:pStyle w:val="TableContents"/>
              <w:bidi w:val="0"/>
              <w:spacing w:before="0" w:after="0"/>
              <w:jc w:val="center"/>
              <w:rPr/>
            </w:pPr>
            <w:r>
              <w:rPr>
                <w:spacing w:val="4"/>
              </w:rPr>
              <w:t>/s/ G. Douglas Dillard, Jr.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G. Douglas Dillard, Jr.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29"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06" w:type="dxa"/>
            <w:tcBorders/>
            <w:tcMar>
              <w:bottom w:w="0" w:type="dxa"/>
            </w:tcMar>
            <w:vAlign w:val="center"/>
          </w:tcPr>
          <w:p>
            <w:pPr>
              <w:pStyle w:val="TableContents"/>
              <w:bidi w:val="0"/>
              <w:spacing w:before="0" w:after="0"/>
              <w:jc w:val="center"/>
              <w:rPr/>
            </w:pPr>
            <w:r>
              <w:rPr>
                <w:spacing w:val="4"/>
              </w:rPr>
              <w:t>/s/ James H. Hance, Jr.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James H. Hance, Jr.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29"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06" w:type="dxa"/>
            <w:tcBorders/>
            <w:tcMar>
              <w:bottom w:w="0" w:type="dxa"/>
            </w:tcMar>
            <w:vAlign w:val="center"/>
          </w:tcPr>
          <w:p>
            <w:pPr>
              <w:pStyle w:val="TableContents"/>
              <w:bidi w:val="0"/>
              <w:spacing w:before="0" w:after="0"/>
              <w:jc w:val="center"/>
              <w:rPr/>
            </w:pPr>
            <w:r>
              <w:rPr>
                <w:spacing w:val="4"/>
              </w:rPr>
              <w:t>/s/ Maya Leibman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Maya Leibman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29"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4093" w:type="dxa"/>
        <w:jc w:val="left"/>
        <w:tblInd w:w="1433" w:type="dxa"/>
        <w:tblLayout w:type="fixed"/>
        <w:tblCellMar>
          <w:top w:w="0" w:type="dxa"/>
          <w:left w:w="0" w:type="dxa"/>
          <w:bottom w:w="28" w:type="dxa"/>
          <w:right w:w="0" w:type="dxa"/>
        </w:tblCellMar>
      </w:tblPr>
      <w:tblGrid>
        <w:gridCol w:w="124"/>
        <w:gridCol w:w="2623"/>
        <w:gridCol w:w="109"/>
        <w:gridCol w:w="109"/>
        <w:gridCol w:w="974"/>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62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23" w:type="dxa"/>
            <w:tcBorders/>
            <w:tcMar>
              <w:bottom w:w="0" w:type="dxa"/>
            </w:tcMar>
            <w:vAlign w:val="center"/>
          </w:tcPr>
          <w:p>
            <w:pPr>
              <w:pStyle w:val="TableContents"/>
              <w:bidi w:val="0"/>
              <w:spacing w:before="0" w:after="0"/>
              <w:jc w:val="center"/>
              <w:rPr/>
            </w:pPr>
            <w:r>
              <w:rPr>
                <w:spacing w:val="4"/>
              </w:rPr>
              <w:t>/s/ Laura O’Shaughnessy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Laura O’Shaughnessy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23" w:type="dxa"/>
            <w:tcBorders/>
            <w:tcMar>
              <w:bottom w:w="0" w:type="dxa"/>
            </w:tcMar>
            <w:vAlign w:val="center"/>
          </w:tcPr>
          <w:p>
            <w:pPr>
              <w:pStyle w:val="TableContents"/>
              <w:bidi w:val="0"/>
              <w:spacing w:before="0" w:after="0"/>
              <w:jc w:val="center"/>
              <w:rPr/>
            </w:pPr>
            <w:r>
              <w:rPr>
                <w:spacing w:val="4"/>
              </w:rPr>
              <w:t>/s/ Mark J. Sachleben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Mark J. Sachleben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23" w:type="dxa"/>
            <w:tcBorders/>
            <w:tcMar>
              <w:bottom w:w="0" w:type="dxa"/>
            </w:tcMar>
            <w:vAlign w:val="center"/>
          </w:tcPr>
          <w:p>
            <w:pPr>
              <w:pStyle w:val="TableContents"/>
              <w:bidi w:val="0"/>
              <w:spacing w:before="0" w:after="0"/>
              <w:jc w:val="center"/>
              <w:rPr/>
            </w:pPr>
            <w:r>
              <w:rPr>
                <w:spacing w:val="4"/>
              </w:rPr>
              <w:t>/s/ Nicholas Tzitzon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Nicholas Tzitzon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pPr>
            <w:r>
              <w:rPr>
                <w:spacing w:val="4"/>
              </w:rPr>
              <w:t>Director</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8" w:name="tSIG2"/>
      <w:bookmarkEnd w:id="1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59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SIGNATURES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Atlanta, State of Georgia, on October 23, 2026. </w:t>
      </w:r>
    </w:p>
    <w:p>
      <w:pPr>
        <w:pStyle w:val="TextBody"/>
        <w:bidi w:val="0"/>
        <w:spacing w:lineRule="atLeast" w:line="240" w:before="240" w:after="283"/>
        <w:ind w:left="5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Acuity Brands Lighting, Inc.</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0"/>
        <w:ind w:left="6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 Neil M. Ashe </w:t>
      </w:r>
      <w:r>
        <mc:AlternateContent>
          <mc:Choice Requires="wps">
            <w:drawing>
              <wp:anchor behindDoc="0" distT="101600" distB="0" distL="2794000" distR="0" simplePos="0" locked="0" layoutInCell="1" allowOverlap="1" relativeHeight="110">
                <wp:simplePos x="0" y="0"/>
                <wp:positionH relativeFrom="column">
                  <wp:align>left</wp:align>
                </wp:positionH>
                <wp:positionV relativeFrom="line">
                  <wp:align>top</wp:align>
                </wp:positionV>
                <wp:extent cx="254000" cy="525780"/>
                <wp:effectExtent l="0" t="0" r="0" b="0"/>
                <wp:wrapSquare wrapText="right"/>
                <wp:docPr id="99" name="Frame9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6.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ind w:left="62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40" w:after="0"/>
        <w:ind w:left="687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Neil M. Ashe </w:t>
      </w:r>
      <w:r>
        <mc:AlternateContent>
          <mc:Choice Requires="wps">
            <w:drawing>
              <wp:anchor behindDoc="0" distT="25400" distB="0" distL="3048000" distR="0" simplePos="0" locked="0" layoutInCell="1" allowOverlap="1" relativeHeight="111">
                <wp:simplePos x="0" y="0"/>
                <wp:positionH relativeFrom="column">
                  <wp:align>left</wp:align>
                </wp:positionH>
                <wp:positionV relativeFrom="line">
                  <wp:align>top</wp:align>
                </wp:positionV>
                <wp:extent cx="406400" cy="525780"/>
                <wp:effectExtent l="0" t="0" r="0" b="0"/>
                <wp:wrapSquare wrapText="right"/>
                <wp:docPr id="100" name="Frame99"/>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2pt;mso-wrap-distance-bottom:0pt;margin-top:2pt;mso-position-vertical:top;mso-position-vertical-relative:text;margin-left:162.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0" w:after="0"/>
        <w:ind w:left="687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Chief Executive Officer </w:t>
      </w:r>
      <w:r>
        <mc:AlternateContent>
          <mc:Choice Requires="wps">
            <w:drawing>
              <wp:anchor behindDoc="0" distT="0" distB="0" distL="3048000" distR="0" simplePos="0" locked="0" layoutInCell="1" allowOverlap="1" relativeHeight="112">
                <wp:simplePos x="0" y="0"/>
                <wp:positionH relativeFrom="column">
                  <wp:align>left</wp:align>
                </wp:positionH>
                <wp:positionV relativeFrom="line">
                  <wp:posOffset>635</wp:posOffset>
                </wp:positionV>
                <wp:extent cx="4064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pt;mso-wrap-distance-bottom:0pt;margin-top:0pt;mso-position-vertical:top;mso-position-vertical-relative:text;margin-left:162.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POWER OF ATTORNEY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KNOW ALL PERSONS BY THESE PRESENTS, that each of the undersigned hereby constitutes and appoints Neil M. Ashe and Karen J. Holcom, and each of them individually, his or her true and lawful attorneys-in-fact (with full power of substitution and resubstitution) to act for him or her in his or her name, place, and stead in his or her capacity as a director or officer of Acuity Brands Lighting, Inc., to sign, execute and file this registration statement under the Securities Act of 1933, as amended, and any or all amendments (including, without limitation, post-effective amendments), with all exhibits and any and all documents required to be filed with respect thereto, with the Securities and Exchange Commission or any regulatory authority,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requirements of the Securities Act of 1933, as amended, this registration statement has been signed by the following persons in the capacities indicated on October 23, 2026. </w:t>
      </w:r>
    </w:p>
    <w:tbl>
      <w:tblPr>
        <w:tblW w:w="8732" w:type="dxa"/>
        <w:jc w:val="left"/>
        <w:tblInd w:w="1433" w:type="dxa"/>
        <w:tblLayout w:type="fixed"/>
        <w:tblCellMar>
          <w:top w:w="0" w:type="dxa"/>
          <w:left w:w="0" w:type="dxa"/>
          <w:bottom w:w="28" w:type="dxa"/>
          <w:right w:w="0" w:type="dxa"/>
        </w:tblCellMar>
      </w:tblPr>
      <w:tblGrid>
        <w:gridCol w:w="124"/>
        <w:gridCol w:w="2194"/>
        <w:gridCol w:w="109"/>
        <w:gridCol w:w="109"/>
        <w:gridCol w:w="6041"/>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19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04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94" w:type="dxa"/>
            <w:tcBorders/>
            <w:tcMar>
              <w:bottom w:w="0" w:type="dxa"/>
            </w:tcMar>
            <w:vAlign w:val="center"/>
          </w:tcPr>
          <w:p>
            <w:pPr>
              <w:pStyle w:val="TableContents"/>
              <w:bidi w:val="0"/>
              <w:spacing w:before="0" w:after="0"/>
              <w:jc w:val="center"/>
              <w:rPr>
                <w:spacing w:val="4"/>
              </w:rPr>
            </w:pPr>
            <w:r>
              <w:rPr>
                <w:spacing w:val="4"/>
              </w:rPr>
              <w:t xml:space="preserve">/s/ Neil M. Ashe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Neil M. Ashe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1" w:type="dxa"/>
            <w:tcBorders/>
            <w:tcMar>
              <w:bottom w:w="0" w:type="dxa"/>
            </w:tcMar>
            <w:vAlign w:val="center"/>
          </w:tcPr>
          <w:p>
            <w:pPr>
              <w:pStyle w:val="TableContents"/>
              <w:bidi w:val="0"/>
              <w:spacing w:before="0" w:after="0"/>
              <w:jc w:val="center"/>
              <w:rPr/>
            </w:pPr>
            <w:r>
              <w:rPr>
                <w:spacing w:val="4"/>
              </w:rPr>
              <w:t>Chief Executive Officer and Chairman</w:t>
            </w:r>
            <w:r>
              <w:rPr/>
              <w:t xml:space="preserve"> </w:t>
              <w:br/>
            </w:r>
            <w:r>
              <w:rPr>
                <w:spacing w:val="4"/>
              </w:rPr>
              <w:t xml:space="preserve">(Principal Executive Officer)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94" w:type="dxa"/>
            <w:tcBorders/>
            <w:tcMar>
              <w:bottom w:w="0" w:type="dxa"/>
            </w:tcMar>
            <w:vAlign w:val="center"/>
          </w:tcPr>
          <w:p>
            <w:pPr>
              <w:pStyle w:val="TableContents"/>
              <w:bidi w:val="0"/>
              <w:spacing w:before="0" w:after="0"/>
              <w:jc w:val="center"/>
              <w:rPr>
                <w:spacing w:val="4"/>
              </w:rPr>
            </w:pPr>
            <w:r>
              <w:rPr>
                <w:spacing w:val="4"/>
              </w:rPr>
              <w:t xml:space="preserve">/s/ Karen J. Holcom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Karen J. Holcom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1" w:type="dxa"/>
            <w:tcBorders/>
            <w:tcMar>
              <w:bottom w:w="0" w:type="dxa"/>
            </w:tcMar>
            <w:vAlign w:val="center"/>
          </w:tcPr>
          <w:p>
            <w:pPr>
              <w:pStyle w:val="TableContents"/>
              <w:bidi w:val="0"/>
              <w:spacing w:before="0" w:after="0"/>
              <w:jc w:val="center"/>
              <w:rPr/>
            </w:pPr>
            <w:r>
              <w:rPr>
                <w:spacing w:val="4"/>
              </w:rPr>
              <w:t>Senior Vice President and Chief Financial Officer and Director</w:t>
            </w:r>
            <w:r>
              <w:rPr/>
              <w:t xml:space="preserve"> </w:t>
              <w:br/>
            </w:r>
            <w:r>
              <w:rPr>
                <w:spacing w:val="4"/>
              </w:rPr>
              <w:t xml:space="preserve">(Principal Financial and Accounting Officer)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94" w:type="dxa"/>
            <w:tcBorders/>
            <w:tcMar>
              <w:bottom w:w="0" w:type="dxa"/>
            </w:tcMar>
            <w:vAlign w:val="center"/>
          </w:tcPr>
          <w:p>
            <w:pPr>
              <w:pStyle w:val="TableContents"/>
              <w:bidi w:val="0"/>
              <w:spacing w:before="0" w:after="0"/>
              <w:jc w:val="center"/>
              <w:rPr>
                <w:spacing w:val="4"/>
              </w:rPr>
            </w:pPr>
            <w:r>
              <w:rPr>
                <w:spacing w:val="4"/>
              </w:rPr>
              <w:t xml:space="preserve">/s/ Barry R. Goldman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Barry R. Goldman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1" w:type="dxa"/>
            <w:tcBorders/>
            <w:tcMar>
              <w:bottom w:w="0" w:type="dxa"/>
            </w:tcMar>
            <w:vAlign w:val="center"/>
          </w:tcPr>
          <w:p>
            <w:pPr>
              <w:pStyle w:val="TableContents"/>
              <w:bidi w:val="0"/>
              <w:spacing w:before="0" w:after="0"/>
              <w:jc w:val="center"/>
              <w:rPr/>
            </w:pPr>
            <w:r>
              <w:rPr>
                <w:spacing w:val="4"/>
              </w:rPr>
              <w:t>Director</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9" w:name="tSIG3"/>
      <w:bookmarkEnd w:id="1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59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SIGNATURES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Atlanta, State of Georgia, on October 23, 2026. </w:t>
      </w:r>
    </w:p>
    <w:p>
      <w:pPr>
        <w:pStyle w:val="TextBody"/>
        <w:bidi w:val="0"/>
        <w:spacing w:lineRule="atLeast" w:line="240" w:before="240" w:after="283"/>
        <w:ind w:left="5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Acuity Intelligent Spaces Inc.</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0"/>
        <w:ind w:left="6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 Neil M. Ashe</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101600" distB="0" distL="2794000" distR="0" simplePos="0" locked="0" layoutInCell="1" allowOverlap="1" relativeHeight="113">
                <wp:simplePos x="0" y="0"/>
                <wp:positionH relativeFrom="column">
                  <wp:align>left</wp:align>
                </wp:positionH>
                <wp:positionV relativeFrom="line">
                  <wp:align>top</wp:align>
                </wp:positionV>
                <wp:extent cx="254000" cy="525780"/>
                <wp:effectExtent l="0" t="0" r="0" b="0"/>
                <wp:wrapSquare wrapText="right"/>
                <wp:docPr id="102" name="Frame10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6.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ind w:left="62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40" w:after="0"/>
        <w:ind w:left="687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Neil M. Ashe </w:t>
      </w:r>
      <w:r>
        <mc:AlternateContent>
          <mc:Choice Requires="wps">
            <w:drawing>
              <wp:anchor behindDoc="0" distT="25400" distB="0" distL="3048000" distR="0" simplePos="0" locked="0" layoutInCell="1" allowOverlap="1" relativeHeight="114">
                <wp:simplePos x="0" y="0"/>
                <wp:positionH relativeFrom="column">
                  <wp:align>left</wp:align>
                </wp:positionH>
                <wp:positionV relativeFrom="line">
                  <wp:align>top</wp:align>
                </wp:positionV>
                <wp:extent cx="406400" cy="525780"/>
                <wp:effectExtent l="0" t="0" r="0" b="0"/>
                <wp:wrapSquare wrapText="right"/>
                <wp:docPr id="103" name="Frame102"/>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2pt;mso-wrap-distance-bottom:0pt;margin-top:2pt;mso-position-vertical:top;mso-position-vertical-relative:text;margin-left:162.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0" w:after="0"/>
        <w:ind w:left="687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President and Chief Executive Officer </w:t>
      </w:r>
      <w:r>
        <mc:AlternateContent>
          <mc:Choice Requires="wps">
            <w:drawing>
              <wp:anchor behindDoc="0" distT="0" distB="0" distL="3048000" distR="0" simplePos="0" locked="0" layoutInCell="1" allowOverlap="1" relativeHeight="115">
                <wp:simplePos x="0" y="0"/>
                <wp:positionH relativeFrom="column">
                  <wp:align>left</wp:align>
                </wp:positionH>
                <wp:positionV relativeFrom="line">
                  <wp:posOffset>635</wp:posOffset>
                </wp:positionV>
                <wp:extent cx="4064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pt;mso-wrap-distance-bottom:0pt;margin-top:0pt;mso-position-vertical:top;mso-position-vertical-relative:text;margin-left:162.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POWER OF ATTORNEY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KNOW ALL PERSONS BY THESE PRESENTS, that each of the undersigned hereby constitutes and appoints Neil M. Ashe and Karen J. Holcom, and each of them individually, his or her true and lawful attorneys-in-fact (with full power of substitution and resubstitution) to act for him or her in his or her name, place, and stead in his or her capacity as a director or officer of Acuity Intelligent Spaces Inc., to sign, execute and file this registration statement under the Securities Act of 1933, as amended, and any or all amendments (including, without limitation, post-effective amendments), with all exhibits and any and all documents required to be filed with respect thereto, with the Securities and Exchange Commission or any regulatory authority,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requirements of the Securities Act of 1933, as amended, this registration statement has been signed by the following persons in the capacities indicated on October 23, 2026. </w:t>
      </w:r>
    </w:p>
    <w:tbl>
      <w:tblPr>
        <w:tblW w:w="8732" w:type="dxa"/>
        <w:jc w:val="left"/>
        <w:tblInd w:w="1433" w:type="dxa"/>
        <w:tblLayout w:type="fixed"/>
        <w:tblCellMar>
          <w:top w:w="0" w:type="dxa"/>
          <w:left w:w="0" w:type="dxa"/>
          <w:bottom w:w="28" w:type="dxa"/>
          <w:right w:w="0" w:type="dxa"/>
        </w:tblCellMar>
      </w:tblPr>
      <w:tblGrid>
        <w:gridCol w:w="124"/>
        <w:gridCol w:w="2194"/>
        <w:gridCol w:w="109"/>
        <w:gridCol w:w="109"/>
        <w:gridCol w:w="6041"/>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19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04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94" w:type="dxa"/>
            <w:tcBorders/>
            <w:tcMar>
              <w:bottom w:w="0" w:type="dxa"/>
            </w:tcMar>
            <w:vAlign w:val="center"/>
          </w:tcPr>
          <w:p>
            <w:pPr>
              <w:pStyle w:val="TableContents"/>
              <w:bidi w:val="0"/>
              <w:spacing w:before="0" w:after="0"/>
              <w:jc w:val="center"/>
              <w:rPr/>
            </w:pPr>
            <w:r>
              <w:rPr>
                <w:spacing w:val="4"/>
              </w:rPr>
              <w:t>/s/ Neil M. Ashe</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Neil M. Ashe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1" w:type="dxa"/>
            <w:tcBorders/>
            <w:tcMar>
              <w:bottom w:w="0" w:type="dxa"/>
            </w:tcMar>
            <w:vAlign w:val="center"/>
          </w:tcPr>
          <w:p>
            <w:pPr>
              <w:pStyle w:val="TableContents"/>
              <w:bidi w:val="0"/>
              <w:spacing w:before="0" w:after="0"/>
              <w:jc w:val="center"/>
              <w:rPr/>
            </w:pPr>
            <w:r>
              <w:rPr>
                <w:spacing w:val="4"/>
              </w:rPr>
              <w:t>Chairman, President, Chief Executive Officer and Director</w:t>
            </w:r>
            <w:r>
              <w:rPr/>
              <w:t xml:space="preserve"> </w:t>
              <w:br/>
            </w:r>
            <w:r>
              <w:rPr>
                <w:spacing w:val="4"/>
              </w:rPr>
              <w:t xml:space="preserve">(Principal Executive Officer)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94" w:type="dxa"/>
            <w:tcBorders/>
            <w:tcMar>
              <w:bottom w:w="0" w:type="dxa"/>
            </w:tcMar>
            <w:vAlign w:val="center"/>
          </w:tcPr>
          <w:p>
            <w:pPr>
              <w:pStyle w:val="TableContents"/>
              <w:bidi w:val="0"/>
              <w:spacing w:before="0" w:after="0"/>
              <w:jc w:val="center"/>
              <w:rPr/>
            </w:pPr>
            <w:r>
              <w:rPr>
                <w:spacing w:val="4"/>
              </w:rPr>
              <w:t>/s/ Karen J. Holcom</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Karen J. Holcom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1" w:type="dxa"/>
            <w:tcBorders/>
            <w:tcMar>
              <w:bottom w:w="0" w:type="dxa"/>
            </w:tcMar>
            <w:vAlign w:val="center"/>
          </w:tcPr>
          <w:p>
            <w:pPr>
              <w:pStyle w:val="TableContents"/>
              <w:bidi w:val="0"/>
              <w:spacing w:before="0" w:after="0"/>
              <w:jc w:val="center"/>
              <w:rPr/>
            </w:pPr>
            <w:r>
              <w:rPr>
                <w:spacing w:val="4"/>
              </w:rPr>
              <w:t>Senior Vice President and Chief Financial Officer and Director</w:t>
            </w:r>
            <w:r>
              <w:rPr/>
              <w:t xml:space="preserve"> </w:t>
              <w:br/>
            </w:r>
            <w:r>
              <w:rPr>
                <w:spacing w:val="4"/>
              </w:rPr>
              <w:t xml:space="preserve">(Principal Financial and Accounting Officer)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94" w:type="dxa"/>
            <w:tcBorders/>
            <w:tcMar>
              <w:bottom w:w="0" w:type="dxa"/>
            </w:tcMar>
            <w:vAlign w:val="center"/>
          </w:tcPr>
          <w:p>
            <w:pPr>
              <w:pStyle w:val="TableContents"/>
              <w:bidi w:val="0"/>
              <w:spacing w:before="0" w:after="0"/>
              <w:jc w:val="center"/>
              <w:rPr/>
            </w:pPr>
            <w:r>
              <w:rPr>
                <w:spacing w:val="4"/>
              </w:rPr>
              <w:t>/s/ Barry R. Goldman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Barry R. Goldman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1" w:type="dxa"/>
            <w:tcBorders/>
            <w:tcMar>
              <w:bottom w:w="0" w:type="dxa"/>
            </w:tcMar>
            <w:vAlign w:val="center"/>
          </w:tcPr>
          <w:p>
            <w:pPr>
              <w:pStyle w:val="TableContents"/>
              <w:bidi w:val="0"/>
              <w:spacing w:before="0" w:after="0"/>
              <w:jc w:val="center"/>
              <w:rPr/>
            </w:pPr>
            <w:r>
              <w:rPr>
                <w:spacing w:val="4"/>
              </w:rPr>
              <w:t>Director</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0" w:name="tSIG4"/>
      <w:bookmarkEnd w:id="2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SIGNATURES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Atlanta, State of Georgia, on October 23, 2026. </w:t>
      </w:r>
    </w:p>
    <w:p>
      <w:pPr>
        <w:pStyle w:val="TextBody"/>
        <w:bidi w:val="0"/>
        <w:spacing w:lineRule="atLeast" w:line="240" w:before="240" w:after="283"/>
        <w:ind w:left="5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QSC, LLC</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0"/>
        <w:ind w:left="6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 Neil M. Ashe</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101600" distB="0" distL="2794000" distR="0" simplePos="0" locked="0" layoutInCell="1" allowOverlap="1" relativeHeight="116">
                <wp:simplePos x="0" y="0"/>
                <wp:positionH relativeFrom="column">
                  <wp:align>left</wp:align>
                </wp:positionH>
                <wp:positionV relativeFrom="line">
                  <wp:align>top</wp:align>
                </wp:positionV>
                <wp:extent cx="254000" cy="525780"/>
                <wp:effectExtent l="0" t="0" r="0" b="0"/>
                <wp:wrapSquare wrapText="right"/>
                <wp:docPr id="105" name="Frame10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6.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ind w:left="62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40" w:after="0"/>
        <w:ind w:left="687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Neil M. Ashe </w:t>
      </w:r>
      <w:r>
        <mc:AlternateContent>
          <mc:Choice Requires="wps">
            <w:drawing>
              <wp:anchor behindDoc="0" distT="25400" distB="0" distL="3048000" distR="0" simplePos="0" locked="0" layoutInCell="1" allowOverlap="1" relativeHeight="117">
                <wp:simplePos x="0" y="0"/>
                <wp:positionH relativeFrom="column">
                  <wp:align>left</wp:align>
                </wp:positionH>
                <wp:positionV relativeFrom="line">
                  <wp:align>top</wp:align>
                </wp:positionV>
                <wp:extent cx="406400" cy="525780"/>
                <wp:effectExtent l="0" t="0" r="0" b="0"/>
                <wp:wrapSquare wrapText="right"/>
                <wp:docPr id="106" name="Frame105"/>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2pt;mso-wrap-distance-bottom:0pt;margin-top:2pt;mso-position-vertical:top;mso-position-vertical-relative:text;margin-left:162.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0" w:after="0"/>
        <w:ind w:left="687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President and Chief Executive Officer </w:t>
      </w:r>
      <w:r>
        <mc:AlternateContent>
          <mc:Choice Requires="wps">
            <w:drawing>
              <wp:anchor behindDoc="0" distT="0" distB="0" distL="3048000" distR="0" simplePos="0" locked="0" layoutInCell="1" allowOverlap="1" relativeHeight="118">
                <wp:simplePos x="0" y="0"/>
                <wp:positionH relativeFrom="column">
                  <wp:align>left</wp:align>
                </wp:positionH>
                <wp:positionV relativeFrom="line">
                  <wp:posOffset>635</wp:posOffset>
                </wp:positionV>
                <wp:extent cx="4064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pt;mso-wrap-distance-bottom:0pt;margin-top:0pt;mso-position-vertical:top;mso-position-vertical-relative:text;margin-left:162.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POWER OF ATTORNEY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KNOW ALL PERSONS BY THESE PRESENTS, that each of the undersigned hereby constitutes and appoints Neil M. Ashe and Karen J. Holcom, and each of them individually, his or her true and lawful attorneys-in-fact (with full power of substitution and resubstitution) to act for him or her in his or her name, place, and stead in his or her capacity as a manager or officer of QSC, LLC, to sign, execute and file this registration statement under the Securities Act of 1933, as amended, and any or all amendments (including, without limitation, post-effective amendments), with all exhibits and any and all documents required to be filed with respect thereto, with the Securities and Exchange Commission or any regulatory authority,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requirements of the Securities Act of 1933, as amended, this registration statement has been signed by the following persons in the capacities indicated on October 23, 2026. </w:t>
      </w:r>
    </w:p>
    <w:tbl>
      <w:tblPr>
        <w:tblW w:w="8732" w:type="dxa"/>
        <w:jc w:val="left"/>
        <w:tblInd w:w="1433" w:type="dxa"/>
        <w:tblLayout w:type="fixed"/>
        <w:tblCellMar>
          <w:top w:w="0" w:type="dxa"/>
          <w:left w:w="0" w:type="dxa"/>
          <w:bottom w:w="28" w:type="dxa"/>
          <w:right w:w="0" w:type="dxa"/>
        </w:tblCellMar>
      </w:tblPr>
      <w:tblGrid>
        <w:gridCol w:w="124"/>
        <w:gridCol w:w="2183"/>
        <w:gridCol w:w="109"/>
        <w:gridCol w:w="109"/>
        <w:gridCol w:w="6052"/>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18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05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83" w:type="dxa"/>
            <w:tcBorders/>
            <w:tcMar>
              <w:bottom w:w="0" w:type="dxa"/>
            </w:tcMar>
            <w:vAlign w:val="center"/>
          </w:tcPr>
          <w:p>
            <w:pPr>
              <w:pStyle w:val="TableContents"/>
              <w:bidi w:val="0"/>
              <w:spacing w:before="0" w:after="0"/>
              <w:jc w:val="center"/>
              <w:rPr/>
            </w:pPr>
            <w:r>
              <w:rPr>
                <w:spacing w:val="4"/>
              </w:rPr>
              <w:t>/s/ Neil M. Ashe</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Neil M. Ashe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52" w:type="dxa"/>
            <w:tcBorders/>
            <w:tcMar>
              <w:bottom w:w="0" w:type="dxa"/>
            </w:tcMar>
            <w:vAlign w:val="center"/>
          </w:tcPr>
          <w:p>
            <w:pPr>
              <w:pStyle w:val="TableContents"/>
              <w:bidi w:val="0"/>
              <w:spacing w:before="0" w:after="0"/>
              <w:jc w:val="center"/>
              <w:rPr/>
            </w:pPr>
            <w:r>
              <w:rPr>
                <w:spacing w:val="4"/>
              </w:rPr>
              <w:t>Chairman, President, Chief Executive Officer and Manager</w:t>
            </w:r>
            <w:r>
              <w:rPr/>
              <w:t xml:space="preserve"> </w:t>
              <w:br/>
            </w:r>
            <w:r>
              <w:rPr>
                <w:spacing w:val="4"/>
              </w:rPr>
              <w:t xml:space="preserve">(Principal Executive Officer)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83" w:type="dxa"/>
            <w:tcBorders/>
            <w:tcMar>
              <w:bottom w:w="0" w:type="dxa"/>
            </w:tcMar>
            <w:vAlign w:val="center"/>
          </w:tcPr>
          <w:p>
            <w:pPr>
              <w:pStyle w:val="TableContents"/>
              <w:bidi w:val="0"/>
              <w:spacing w:before="0" w:after="0"/>
              <w:jc w:val="center"/>
              <w:rPr/>
            </w:pPr>
            <w:r>
              <w:rPr>
                <w:spacing w:val="4"/>
              </w:rPr>
              <w:t>/s/ Karen J. Holcom</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Karen J. Holcom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52" w:type="dxa"/>
            <w:tcBorders/>
            <w:tcMar>
              <w:bottom w:w="0" w:type="dxa"/>
            </w:tcMar>
            <w:vAlign w:val="center"/>
          </w:tcPr>
          <w:p>
            <w:pPr>
              <w:pStyle w:val="TableContents"/>
              <w:bidi w:val="0"/>
              <w:spacing w:before="0" w:after="0"/>
              <w:jc w:val="center"/>
              <w:rPr/>
            </w:pPr>
            <w:r>
              <w:rPr>
                <w:spacing w:val="4"/>
              </w:rPr>
              <w:t>Senior Vice President and Chief Financial Officer and Manager</w:t>
            </w:r>
            <w:r>
              <w:rPr/>
              <w:t xml:space="preserve"> </w:t>
              <w:br/>
            </w:r>
            <w:r>
              <w:rPr>
                <w:spacing w:val="4"/>
              </w:rPr>
              <w:t xml:space="preserve">(Principal Financial and Accounting Officer)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83" w:type="dxa"/>
            <w:tcBorders/>
            <w:tcMar>
              <w:bottom w:w="0" w:type="dxa"/>
            </w:tcMar>
            <w:vAlign w:val="center"/>
          </w:tcPr>
          <w:p>
            <w:pPr>
              <w:pStyle w:val="TableContents"/>
              <w:bidi w:val="0"/>
              <w:spacing w:before="0" w:after="0"/>
              <w:jc w:val="center"/>
              <w:rPr/>
            </w:pPr>
            <w:r>
              <w:rPr>
                <w:spacing w:val="4"/>
              </w:rPr>
              <w:t>/s/ Barry R. Goldman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Barry R. Goldman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52" w:type="dxa"/>
            <w:tcBorders/>
            <w:tcMar>
              <w:bottom w:w="0" w:type="dxa"/>
            </w:tcMar>
            <w:vAlign w:val="center"/>
          </w:tcPr>
          <w:p>
            <w:pPr>
              <w:pStyle w:val="TableContents"/>
              <w:bidi w:val="0"/>
              <w:spacing w:before="0" w:after="0"/>
              <w:jc w:val="center"/>
              <w:rPr/>
            </w:pPr>
            <w:r>
              <w:rPr>
                <w:spacing w:val="4"/>
              </w:rPr>
              <w:t>Manager</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II-10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1" w:name="tSIG5"/>
      <w:bookmarkEnd w:id="2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59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SIGNATURES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Atlanta, State of Georgia, on October 23, 2026. </w:t>
      </w:r>
    </w:p>
    <w:p>
      <w:pPr>
        <w:pStyle w:val="TextBody"/>
        <w:bidi w:val="0"/>
        <w:spacing w:lineRule="atLeast" w:line="240" w:before="240" w:after="283"/>
        <w:ind w:left="5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ABL IP Holding LLC</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0"/>
        <w:ind w:left="6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 Neil M. Ashe </w:t>
      </w:r>
      <w:r>
        <mc:AlternateContent>
          <mc:Choice Requires="wps">
            <w:drawing>
              <wp:anchor behindDoc="0" distT="101600" distB="0" distL="2794000" distR="0" simplePos="0" locked="0" layoutInCell="1" allowOverlap="1" relativeHeight="119">
                <wp:simplePos x="0" y="0"/>
                <wp:positionH relativeFrom="column">
                  <wp:align>left</wp:align>
                </wp:positionH>
                <wp:positionV relativeFrom="line">
                  <wp:align>top</wp:align>
                </wp:positionV>
                <wp:extent cx="254000" cy="525780"/>
                <wp:effectExtent l="0" t="0" r="0" b="0"/>
                <wp:wrapSquare wrapText="right"/>
                <wp:docPr id="108" name="Frame10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6.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ind w:left="62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40" w:after="0"/>
        <w:ind w:left="687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Neil M. Ashe </w:t>
      </w:r>
      <w:r>
        <mc:AlternateContent>
          <mc:Choice Requires="wps">
            <w:drawing>
              <wp:anchor behindDoc="0" distT="25400" distB="0" distL="3048000" distR="0" simplePos="0" locked="0" layoutInCell="1" allowOverlap="1" relativeHeight="120">
                <wp:simplePos x="0" y="0"/>
                <wp:positionH relativeFrom="column">
                  <wp:align>left</wp:align>
                </wp:positionH>
                <wp:positionV relativeFrom="line">
                  <wp:align>top</wp:align>
                </wp:positionV>
                <wp:extent cx="406400" cy="525780"/>
                <wp:effectExtent l="0" t="0" r="0" b="0"/>
                <wp:wrapSquare wrapText="right"/>
                <wp:docPr id="109" name="Frame108"/>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2pt;mso-wrap-distance-bottom:0pt;margin-top:2pt;mso-position-vertical:top;mso-position-vertical-relative:text;margin-left:162.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0" w:after="0"/>
        <w:ind w:left="687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President and Chief Executive Officer </w:t>
      </w:r>
      <w:r>
        <mc:AlternateContent>
          <mc:Choice Requires="wps">
            <w:drawing>
              <wp:anchor behindDoc="0" distT="0" distB="0" distL="3048000" distR="0" simplePos="0" locked="0" layoutInCell="1" allowOverlap="1" relativeHeight="121">
                <wp:simplePos x="0" y="0"/>
                <wp:positionH relativeFrom="column">
                  <wp:align>left</wp:align>
                </wp:positionH>
                <wp:positionV relativeFrom="line">
                  <wp:posOffset>635</wp:posOffset>
                </wp:positionV>
                <wp:extent cx="4064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pt;mso-wrap-distance-bottom:0pt;margin-top:0pt;mso-position-vertical:top;mso-position-vertical-relative:text;margin-left:162.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POWER OF ATTORNEY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KNOW ALL PERSONS BY THESE PRESENTS, that each of the undersigned hereby constitutes and appoints Neil M. Ashe and Karen J. Holcom, and each of them individually, his or her true and lawful attorneys-in-fact (with full power of substitution and resubstitution) to act for him or her in his or her name, place, and stead in his or her capacity as a manager or officer of ABL IP Holding LLC, to sign, execute and file this registration statement under the Securities Act of 1933, as amended, and any or all amendments (including, without limitation, post-effective amendments), with all exhibits and any and all documents required to be filed with respect thereto, with the Securities and Exchange Commission or any regulatory authority,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requirements of the Securities Act of 1933, as amended, this registration statement has been signed by the following persons in the capacities indicated on October 23, 2026. </w:t>
      </w:r>
    </w:p>
    <w:tbl>
      <w:tblPr>
        <w:tblW w:w="8732" w:type="dxa"/>
        <w:jc w:val="left"/>
        <w:tblInd w:w="1433" w:type="dxa"/>
        <w:tblLayout w:type="fixed"/>
        <w:tblCellMar>
          <w:top w:w="0" w:type="dxa"/>
          <w:left w:w="0" w:type="dxa"/>
          <w:bottom w:w="28" w:type="dxa"/>
          <w:right w:w="0" w:type="dxa"/>
        </w:tblCellMar>
      </w:tblPr>
      <w:tblGrid>
        <w:gridCol w:w="124"/>
        <w:gridCol w:w="2183"/>
        <w:gridCol w:w="109"/>
        <w:gridCol w:w="109"/>
        <w:gridCol w:w="6052"/>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18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05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83" w:type="dxa"/>
            <w:tcBorders/>
            <w:tcMar>
              <w:bottom w:w="0" w:type="dxa"/>
            </w:tcMar>
            <w:vAlign w:val="center"/>
          </w:tcPr>
          <w:p>
            <w:pPr>
              <w:pStyle w:val="TableContents"/>
              <w:bidi w:val="0"/>
              <w:spacing w:before="0" w:after="0"/>
              <w:jc w:val="center"/>
              <w:rPr/>
            </w:pPr>
            <w:r>
              <w:rPr>
                <w:spacing w:val="4"/>
              </w:rPr>
              <w:t>/s/ Neil M. Ashe</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Neil M. Ashe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52" w:type="dxa"/>
            <w:tcBorders/>
            <w:tcMar>
              <w:bottom w:w="0" w:type="dxa"/>
            </w:tcMar>
            <w:vAlign w:val="center"/>
          </w:tcPr>
          <w:p>
            <w:pPr>
              <w:pStyle w:val="TableContents"/>
              <w:bidi w:val="0"/>
              <w:spacing w:before="0" w:after="0"/>
              <w:jc w:val="center"/>
              <w:rPr/>
            </w:pPr>
            <w:r>
              <w:rPr>
                <w:spacing w:val="4"/>
              </w:rPr>
              <w:t>President, Chief Executive Officer, Chairman and Manager</w:t>
            </w:r>
            <w:r>
              <w:rPr/>
              <w:t xml:space="preserve"> </w:t>
              <w:br/>
            </w:r>
            <w:r>
              <w:rPr>
                <w:spacing w:val="4"/>
              </w:rPr>
              <w:t xml:space="preserve">(Principal Executive Officer)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83" w:type="dxa"/>
            <w:tcBorders/>
            <w:tcMar>
              <w:bottom w:w="0" w:type="dxa"/>
            </w:tcMar>
            <w:vAlign w:val="center"/>
          </w:tcPr>
          <w:p>
            <w:pPr>
              <w:pStyle w:val="TableContents"/>
              <w:bidi w:val="0"/>
              <w:spacing w:before="0" w:after="0"/>
              <w:jc w:val="center"/>
              <w:rPr/>
            </w:pPr>
            <w:r>
              <w:rPr>
                <w:spacing w:val="4"/>
              </w:rPr>
              <w:t>/s/ Karen J. Holcom</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Karen J. Holcom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52" w:type="dxa"/>
            <w:tcBorders/>
            <w:tcMar>
              <w:bottom w:w="0" w:type="dxa"/>
            </w:tcMar>
            <w:vAlign w:val="center"/>
          </w:tcPr>
          <w:p>
            <w:pPr>
              <w:pStyle w:val="TableContents"/>
              <w:bidi w:val="0"/>
              <w:spacing w:before="0" w:after="0"/>
              <w:jc w:val="center"/>
              <w:rPr/>
            </w:pPr>
            <w:r>
              <w:rPr>
                <w:spacing w:val="4"/>
              </w:rPr>
              <w:t>Senior Vice President and Chief Financial Officer and Manager</w:t>
            </w:r>
            <w:r>
              <w:rPr/>
              <w:t xml:space="preserve"> </w:t>
              <w:br/>
            </w:r>
            <w:r>
              <w:rPr>
                <w:spacing w:val="4"/>
              </w:rPr>
              <w:t xml:space="preserve">(Principal Financial and Accounting Officer)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83" w:type="dxa"/>
            <w:tcBorders/>
            <w:tcMar>
              <w:bottom w:w="0" w:type="dxa"/>
            </w:tcMar>
            <w:vAlign w:val="center"/>
          </w:tcPr>
          <w:p>
            <w:pPr>
              <w:pStyle w:val="TableContents"/>
              <w:bidi w:val="0"/>
              <w:spacing w:before="0" w:after="0"/>
              <w:jc w:val="center"/>
              <w:rPr/>
            </w:pPr>
            <w:r>
              <w:rPr>
                <w:spacing w:val="4"/>
              </w:rPr>
              <w:t>/s/ Barry R. Goldman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Barry R. Goldman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52" w:type="dxa"/>
            <w:tcBorders/>
            <w:tcMar>
              <w:bottom w:w="0" w:type="dxa"/>
            </w:tcMar>
            <w:vAlign w:val="center"/>
          </w:tcPr>
          <w:p>
            <w:pPr>
              <w:pStyle w:val="TableContents"/>
              <w:bidi w:val="0"/>
              <w:spacing w:before="0" w:after="0"/>
              <w:jc w:val="center"/>
              <w:rPr/>
            </w:pPr>
            <w:r>
              <w:rPr>
                <w:spacing w:val="4"/>
              </w:rPr>
              <w:t>Manager</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II-11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before="0" w:after="0"/>
        <w:ind w:left="0" w:right="0" w:hanging="0"/>
        <w:jc w:val="left"/>
        <w:rPr>
          <w:caps w:val="false"/>
          <w:smallCaps w:val="false"/>
        </w:rPr>
      </w:pPr>
      <w:bookmarkStart w:id="22" w:name="tm2627553d2_ex5-1.htm"/>
      <w:bookmarkStart w:id="23" w:name="kstm2627553d2_ex5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tbl>
      <w:tblPr>
        <w:tblW w:w="5615" w:type="dxa"/>
        <w:jc w:val="left"/>
        <w:tblInd w:w="0" w:type="dxa"/>
        <w:tblLayout w:type="fixed"/>
        <w:tblCellMar>
          <w:top w:w="0" w:type="dxa"/>
          <w:left w:w="0" w:type="dxa"/>
          <w:bottom w:w="0" w:type="dxa"/>
          <w:right w:w="0" w:type="dxa"/>
        </w:tblCellMar>
      </w:tblPr>
      <w:tblGrid>
        <w:gridCol w:w="3015"/>
        <w:gridCol w:w="2600"/>
      </w:tblGrid>
      <w:tr>
        <w:trPr/>
        <w:tc>
          <w:tcPr>
            <w:tcW w:w="3015" w:type="dxa"/>
            <w:tcBorders/>
            <w:vAlign w:val="center"/>
          </w:tcPr>
          <w:p>
            <w:pPr>
              <w:pStyle w:val="TableContents"/>
              <w:bidi w:val="0"/>
              <w:spacing w:before="0" w:after="283"/>
              <w:jc w:val="left"/>
              <w:rPr/>
            </w:pPr>
            <w:r>
              <w:rPr/>
              <w:drawing>
                <wp:inline distT="0" distB="0" distL="0" distR="0">
                  <wp:extent cx="1905000" cy="790575"/>
                  <wp:effectExtent l="0" t="0" r="0" b="0"/>
                  <wp:docPr id="1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2" descr=""/>
                          <pic:cNvPicPr>
                            <a:picLocks noChangeAspect="1" noChangeArrowheads="1"/>
                          </pic:cNvPicPr>
                        </pic:nvPicPr>
                        <pic:blipFill>
                          <a:blip r:embed="rId13"/>
                          <a:stretch>
                            <a:fillRect/>
                          </a:stretch>
                        </pic:blipFill>
                        <pic:spPr bwMode="auto">
                          <a:xfrm>
                            <a:off x="0" y="0"/>
                            <a:ext cx="1905000" cy="790575"/>
                          </a:xfrm>
                          <a:prstGeom prst="rect">
                            <a:avLst/>
                          </a:prstGeom>
                        </pic:spPr>
                      </pic:pic>
                    </a:graphicData>
                  </a:graphic>
                </wp:inline>
              </w:drawing>
            </w:r>
          </w:p>
        </w:tc>
        <w:tc>
          <w:tcPr>
            <w:tcW w:w="2600" w:type="dxa"/>
            <w:tcBorders/>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777 E Wisconsin Ave</w:t>
              <w:br/>
              <w:t>Milwaukee, WI 53202-5306</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414.271.2400 TEL</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414.297.4900 FAX</w:t>
            </w:r>
          </w:p>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foley.com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Acuity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Acuity Brands Lighting,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Acuity Intelligent Spaces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QSC,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ABL IP Holding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Acuity Inc.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1170 Peachtree Street, N.E., Suite 1200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 30309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for Acuity Inc., a Delaware corporation (the “Company”), Acuity Brands Lighting, Inc., a Delaware corporation and direct, wholly-owned subsidiary of the Company (the “Subsidiary Issuer”), Acuity Intelligent Spaces Inc., a Delaware corporation and direct, wholly-owned subsidiary of the Company (“AIS”), QSC, LLC, a California limited liability company and direct, wholly-owned subsidiary of AIS (“QSC”), and ABL IP Holding LLC, a Georgia limited liability company and direct, wholly-owned subsidiary of the Subsidiary Issuer (“IP Holding” and, together with the Subsidiary Issuer, AIS and QSC, the “Subsidiary Guarantors” and each, a “Subsidiary Guarantor”), in connection with the preparation of a Registration Statement on Form S-3 (the “Registration Statement”), including the prospectus constituting a part thereof (the “Prospectus”), to be filed with the Securities and Exchange Commission (the “SEC”) under the Securities Act of 1933, as amended (the “Securities Act”), relating to the issuance and sale by the Company, the Subsidiary Issuer, the Subsidiary Guarantors and/or selling stockholders from time to time of an indeterminate amount of: (i) debt securities of the Company (the “Company Debt Securities”), (ii) debt securities of the Subsidiary Issuer (the “Subsidiary Issuer Debt Securities” and, together with the Company Debt Securities, the “Debt Securities”), (iii) guarantees of the Company Debt Securities by the Subsidiary Guarantors (the “Company Debt Guarantees”), (iv) guarantees of the Subsidiary Issuer Debt Securities by the Company and/or IP Holding (the “Subsidiary Issuer Debt Guarantees” and, together with the Company Debt Guarantees, the “Debt Guarantees”), (v) shares of the Company’s common stock, $.01 par value per share (the “Common Stock”), (vi) shares of the Company’s preferred stock, $.01 par value per share (the “Preferred Stock”), and (vii) depositary shares representing fractional interests in shares of Preferred Stock (the “Depositary Shares” and, together with the Debt Securities, the Debt Guarantees, the Common Stock and the Preferred Stock, the “Securities”). The Prospectus provides that it will be supplemented in the future by one or more supplements to such Prospectus and/or other offering material (each, a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96250" cy="628650"/>
            <wp:effectExtent l="0" t="0" r="0" b="0"/>
            <wp:docPr id="1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 descr=""/>
                    <pic:cNvPicPr>
                      <a:picLocks noChangeAspect="1" noChangeArrowheads="1"/>
                    </pic:cNvPicPr>
                  </pic:nvPicPr>
                  <pic:blipFill>
                    <a:blip r:embed="rId14"/>
                    <a:stretch>
                      <a:fillRect/>
                    </a:stretch>
                  </pic:blipFill>
                  <pic:spPr bwMode="auto">
                    <a:xfrm>
                      <a:off x="0" y="0"/>
                      <a:ext cx="8096250" cy="6286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905000" cy="790575"/>
            <wp:effectExtent l="0" t="0" r="0" b="0"/>
            <wp:docPr id="1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 descr=""/>
                    <pic:cNvPicPr>
                      <a:picLocks noChangeAspect="1" noChangeArrowheads="1"/>
                    </pic:cNvPicPr>
                  </pic:nvPicPr>
                  <pic:blipFill>
                    <a:blip r:embed="rId15"/>
                    <a:stretch>
                      <a:fillRect/>
                    </a:stretch>
                  </pic:blipFill>
                  <pic:spPr bwMode="auto">
                    <a:xfrm>
                      <a:off x="0" y="0"/>
                      <a:ext cx="1905000" cy="7905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Acuity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Acuity Brands Lighting,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Acuity Intelligent Spaces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QSC,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ABL IP Holding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23,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counsel to the Company, the Subsidiary Issuer and the Subsidiary Guarantors in connection with the proposed issuance and sale of the Securities, we have examined: (i) the Registration Statement, including the Prospectus, and the exhibits (including those incorporated by reference), each constituting a part of the Registration Statement; (ii) the Company’s Restated Certificate of Incorporation and Amended and Restated Bylaws, each as amended to date; (iii) the Indenture, dated November 10, 2020, between the Subsidiary Issuer and U.S. Bank Trust Company, National Association, as successor to U.S. Bank National Association, as trustee (the “Subsidiary Issuer Indenture”); (iv) the Indenture, dated July 28, 2025, among the Company, the Subsidiary Guarantors and U.S. Bank Trust Company, National Association, as trustee (the “Company Indenture”); and (v) such other proceedings, documents and records as we have deemed necessary to enable us to render this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of the above-referenced documents, we have assumed the genuineness of all signatures, the authenticity of all documents, certificates and instruments submitted to us as originals and the conformity with the originals of all documents submitted to us as copies. We have also assumed that (i) the Registration Statement, and any amendments thereto (including post-effective amendments), will comply with all applicable laws; (ii) a Prospectus Supplement, if required, will have been prepared and filed with the SEC describing the Securities offered thereby; (iii) all Securities will be issued and sold in compliance with applicable federal and state securities laws and in the manner stated in the Registration Statement and any applicable Prospectus Supplement; (iv) any supplemental indenture or officer’s certificate setting forth the terms of a series of Debt Securities to be issued under the Company Indenture or the Subsidiary Issuer Indenture will be duly authorized, executed and delivered by the parties thereto in substantially the form reviewed by us; (v) a definitive purchase, underwriting or similar agreement with respect to any Securities offered will have been duly authorized and validly executed and delivered by, as applicable, the Company, the Subsidiary Issuer, the Subsidiary Guarantors and the other parties thereto; (vi) any Securities issuable upon conversion, exchange or exercise of any Security being offered will have been duly authorized, created and, if appropriate, reserved for issuance upon such conversion, exchange or exercise; (vii) with respect to shares of Common Stock or Preferred Stock offered, there will be sufficient shares of Common Stock or Preferred Stock authorized under the Company’s Restated Certificate of Incorporation, and not otherwise reserved for issuance; and (viii) the deposit agreement, to be entered into between the Company and the depositary named therein (the “Depositary”) and from which the Depositary Shares will be issued (the “Deposit Agreement”), will be duly authorized, executed and delivered by the parties thereto in substantially the form reviewed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905000" cy="790575"/>
            <wp:effectExtent l="0" t="0" r="0" b="0"/>
            <wp:docPr id="1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 descr=""/>
                    <pic:cNvPicPr>
                      <a:picLocks noChangeAspect="1" noChangeArrowheads="1"/>
                    </pic:cNvPicPr>
                  </pic:nvPicPr>
                  <pic:blipFill>
                    <a:blip r:embed="rId16"/>
                    <a:stretch>
                      <a:fillRect/>
                    </a:stretch>
                  </pic:blipFill>
                  <pic:spPr bwMode="auto">
                    <a:xfrm>
                      <a:off x="0" y="0"/>
                      <a:ext cx="1905000" cy="7905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Acuity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Acuity Brands Lighting,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Acuity Intelligent Spaces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QSC,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ABL IP Holding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23,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and the other matters set forth herein, and having regard for such legal considerations as we deem relevant, we are of the opinion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2"/>
        <w:gridCol w:w="10035"/>
      </w:tblGrid>
      <w:tr>
        <w:trPr/>
        <w:tc>
          <w:tcPr>
            <w:tcW w:w="3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20"/>
              </w:rPr>
            </w:pPr>
            <w:r>
              <w:rPr>
                <w:sz w:val="20"/>
              </w:rPr>
              <w:t>1.</w:t>
            </w:r>
          </w:p>
        </w:tc>
        <w:tc>
          <w:tcPr>
            <w:tcW w:w="10035" w:type="dxa"/>
            <w:tcBorders/>
            <w:vAlign w:val="center"/>
          </w:tcPr>
          <w:p>
            <w:pPr>
              <w:pStyle w:val="TableContents"/>
              <w:bidi w:val="0"/>
              <w:spacing w:before="0" w:after="283"/>
              <w:jc w:val="both"/>
              <w:rPr/>
            </w:pPr>
            <w:r>
              <w:rPr/>
              <w:t>All requisite action necessary to make any Company Debt Securities valid, legal and binding obligations of the Company and any Company Debt Guarantees valid, legal and binding obligations of the Subsidiary Guarantors, as applicable, subject to (i) bankruptcy, insolvency, reorganization, fraudulent transfer, fraudulent conveyance, moratorium and other similar laws of general application affecting the rights and remedies of creditors and (ii) general principles of equity, regardless of whether applied in a proceeding in equity or at law, shall have been taken when: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a.</w:t>
            </w:r>
          </w:p>
        </w:tc>
        <w:tc>
          <w:tcPr>
            <w:tcW w:w="10012" w:type="dxa"/>
            <w:tcBorders/>
            <w:vAlign w:val="center"/>
          </w:tcPr>
          <w:p>
            <w:pPr>
              <w:pStyle w:val="TableContents"/>
              <w:bidi w:val="0"/>
              <w:spacing w:before="0" w:after="283"/>
              <w:jc w:val="both"/>
              <w:rPr/>
            </w:pPr>
            <w:r>
              <w:rPr/>
              <w:t>The Company’s Board of Directors, or a committee thereof, or one or more officers of the Company, in each case duly authorized by the Company’s Board of Directors, shall have taken action to establish the terms of such Company Debt Securities and to authorize the issuance and sale of such Company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b.</w:t>
            </w:r>
          </w:p>
        </w:tc>
        <w:tc>
          <w:tcPr>
            <w:tcW w:w="9997" w:type="dxa"/>
            <w:tcBorders/>
            <w:vAlign w:val="center"/>
          </w:tcPr>
          <w:p>
            <w:pPr>
              <w:pStyle w:val="TableContents"/>
              <w:bidi w:val="0"/>
              <w:spacing w:before="0" w:after="283"/>
              <w:jc w:val="both"/>
              <w:rPr/>
            </w:pPr>
            <w:r>
              <w:rPr/>
              <w:t>The Board of Directors or Board of Managers, as applicable, of each applicable Subsidiary Guarantor, or a committee thereof, or one or more officers of each applicable Subsidiary Guarantor, in each case duly authorized by the Subsidiary Guarantor’s Board of Directors or Board of Managers, as applicable, shall have taken action to establish the terms of the Company Debt Guarantees and to authorize the issuance and sale of such Company Debt Guarantees;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c.</w:t>
            </w:r>
          </w:p>
        </w:tc>
        <w:tc>
          <w:tcPr>
            <w:tcW w:w="10012" w:type="dxa"/>
            <w:tcBorders/>
            <w:vAlign w:val="center"/>
          </w:tcPr>
          <w:p>
            <w:pPr>
              <w:pStyle w:val="TableContents"/>
              <w:bidi w:val="0"/>
              <w:spacing w:before="0" w:after="283"/>
              <w:jc w:val="both"/>
              <w:rPr/>
            </w:pPr>
            <w:r>
              <w:rPr/>
              <w:t>The terms of such Company Debt Securities and Company Debt Guarantees and of their issuance and sale shall have been established in conformity with the Company Indenture so as not to violate any applicable law or result in a default under or breach of any agreement or instrument binding upon the Company or the applicable Subsidiary Guarantors and so as to comply with any requirements or restrictions imposed by any court or governmental entity having jurisdiction over the Company or the Subsidiary Guarantors;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d.</w:t>
            </w:r>
          </w:p>
        </w:tc>
        <w:tc>
          <w:tcPr>
            <w:tcW w:w="9997" w:type="dxa"/>
            <w:tcBorders/>
            <w:vAlign w:val="center"/>
          </w:tcPr>
          <w:p>
            <w:pPr>
              <w:pStyle w:val="TableContents"/>
              <w:bidi w:val="0"/>
              <w:spacing w:before="0" w:after="283"/>
              <w:jc w:val="both"/>
              <w:rPr/>
            </w:pPr>
            <w:r>
              <w:rPr/>
              <w:t>Such Company Debt Securities and Company Debt Guarantees shall have been duly executed, authenticated and delivered in accordance with the terms and provisions of the Company Indenture;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e.</w:t>
            </w:r>
          </w:p>
        </w:tc>
        <w:tc>
          <w:tcPr>
            <w:tcW w:w="10012" w:type="dxa"/>
            <w:tcBorders/>
            <w:vAlign w:val="center"/>
          </w:tcPr>
          <w:p>
            <w:pPr>
              <w:pStyle w:val="TableContents"/>
              <w:bidi w:val="0"/>
              <w:spacing w:before="0" w:after="283"/>
              <w:jc w:val="both"/>
              <w:rPr/>
            </w:pPr>
            <w:r>
              <w:rPr/>
              <w:t>Such Company Debt Securities and Company Debt Guarantees shall have been issued and sold for the consideration contemplated by, and otherwise in conformity with, the Registration Statement, as supplemented by a Prospectus Supplement with respect to such issuance and sale, and the acts, proceedings and documents referred to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905000" cy="790575"/>
            <wp:effectExtent l="0" t="0" r="0" b="0"/>
            <wp:docPr id="1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6" descr=""/>
                    <pic:cNvPicPr>
                      <a:picLocks noChangeAspect="1" noChangeArrowheads="1"/>
                    </pic:cNvPicPr>
                  </pic:nvPicPr>
                  <pic:blipFill>
                    <a:blip r:embed="rId17"/>
                    <a:stretch>
                      <a:fillRect/>
                    </a:stretch>
                  </pic:blipFill>
                  <pic:spPr bwMode="auto">
                    <a:xfrm>
                      <a:off x="0" y="0"/>
                      <a:ext cx="1905000" cy="7905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Acuity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Acuity Brands Lighting,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Acuity Intelligent Spaces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QSC,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ABL IP Holding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23,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2"/>
        <w:gridCol w:w="10035"/>
      </w:tblGrid>
      <w:tr>
        <w:trPr/>
        <w:tc>
          <w:tcPr>
            <w:tcW w:w="3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20"/>
              </w:rPr>
            </w:pPr>
            <w:r>
              <w:rPr>
                <w:sz w:val="20"/>
              </w:rPr>
              <w:t>2.</w:t>
            </w:r>
          </w:p>
        </w:tc>
        <w:tc>
          <w:tcPr>
            <w:tcW w:w="10035" w:type="dxa"/>
            <w:tcBorders/>
            <w:vAlign w:val="center"/>
          </w:tcPr>
          <w:p>
            <w:pPr>
              <w:pStyle w:val="TableContents"/>
              <w:bidi w:val="0"/>
              <w:spacing w:before="0" w:after="283"/>
              <w:jc w:val="both"/>
              <w:rPr/>
            </w:pPr>
            <w:r>
              <w:rPr/>
              <w:t>All requisite action necessary to make any Subsidiary Issuer Debt Securities valid, legal and binding obligations of the Subsidiary Issuer and any Subsidiary Issuer Debt Guarantees valid, legal and binding obligations of the Company and IP Holding, subject to (i) bankruptcy, insolvency, reorganization, fraudulent transfer, fraudulent conveyance, moratorium and other similar laws of general application affecting the rights and remedies of creditors and (ii) general principles of equity, regardless of whether applied in a proceeding in equity or at law, shall have been taken when: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a.</w:t>
            </w:r>
          </w:p>
        </w:tc>
        <w:tc>
          <w:tcPr>
            <w:tcW w:w="10012" w:type="dxa"/>
            <w:tcBorders/>
            <w:vAlign w:val="center"/>
          </w:tcPr>
          <w:p>
            <w:pPr>
              <w:pStyle w:val="TableContents"/>
              <w:bidi w:val="0"/>
              <w:spacing w:before="0" w:after="283"/>
              <w:jc w:val="both"/>
              <w:rPr/>
            </w:pPr>
            <w:r>
              <w:rPr/>
              <w:t>The Subsidiary Issuer’s Board of Directors, or a committee thereof, or one or more officers of the Subsidiary Issuer, in each case duly authorized by the Subsidiary Issuer’s Board of Directors, shall have taken action to establish the terms of such Debt Securities and to authorize the issuance and sale of such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b.</w:t>
            </w:r>
          </w:p>
        </w:tc>
        <w:tc>
          <w:tcPr>
            <w:tcW w:w="9997" w:type="dxa"/>
            <w:tcBorders/>
            <w:vAlign w:val="center"/>
          </w:tcPr>
          <w:p>
            <w:pPr>
              <w:pStyle w:val="TableContents"/>
              <w:bidi w:val="0"/>
              <w:spacing w:before="0" w:after="283"/>
              <w:jc w:val="both"/>
              <w:rPr/>
            </w:pPr>
            <w:r>
              <w:rPr/>
              <w:t>The Board of Directors of the Company and/or the Board of Managers of IP Holding, or a committee thereof, or one or more officers of the Company and/or IP Holding, as applicable, in each case duly authorized by the Company’s Board of Directors and/or IP Holding’s Board of Managers, as applicable, shall have taken action to establish the terms of the Subsidiary Issuer Debt Guarantees and to authorize the issuance and sale of such Subsidiary Issuer Debt Guarantees;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c.</w:t>
            </w:r>
          </w:p>
        </w:tc>
        <w:tc>
          <w:tcPr>
            <w:tcW w:w="10012" w:type="dxa"/>
            <w:tcBorders/>
            <w:vAlign w:val="center"/>
          </w:tcPr>
          <w:p>
            <w:pPr>
              <w:pStyle w:val="TableContents"/>
              <w:bidi w:val="0"/>
              <w:spacing w:before="0" w:after="283"/>
              <w:jc w:val="both"/>
              <w:rPr/>
            </w:pPr>
            <w:r>
              <w:rPr/>
              <w:t>The terms of such Subsidiary Issuer Debt Securities and Subsidiary Issuer Debt Guarantees and of their issuance and sale shall have been established in conformity with the Subsidiary Issuer Indenture so as not to violate any applicable law or result in a default under or breach of any agreement or instrument binding upon the Company, the Subsidiary Issuer or IP Holding and so as to comply with any requirements or restrictions imposed by any court or governmental entity having jurisdiction over the Company, the Subsidiary Issuer or IP Holding;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d.</w:t>
            </w:r>
          </w:p>
        </w:tc>
        <w:tc>
          <w:tcPr>
            <w:tcW w:w="9997" w:type="dxa"/>
            <w:tcBorders/>
            <w:vAlign w:val="center"/>
          </w:tcPr>
          <w:p>
            <w:pPr>
              <w:pStyle w:val="TableContents"/>
              <w:bidi w:val="0"/>
              <w:spacing w:before="0" w:after="283"/>
              <w:jc w:val="both"/>
              <w:rPr/>
            </w:pPr>
            <w:r>
              <w:rPr/>
              <w:t>Such Subsidiary Issuer Debt Securities and Subsidiary Issuer Debt Guarantees shall have been duly executed, authenticated and delivered in accordance with the terms and provisions of the Subsidiary Issuer Indenture;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e.</w:t>
            </w:r>
          </w:p>
        </w:tc>
        <w:tc>
          <w:tcPr>
            <w:tcW w:w="10012" w:type="dxa"/>
            <w:tcBorders/>
            <w:vAlign w:val="center"/>
          </w:tcPr>
          <w:p>
            <w:pPr>
              <w:pStyle w:val="TableContents"/>
              <w:bidi w:val="0"/>
              <w:spacing w:before="0" w:after="283"/>
              <w:jc w:val="both"/>
              <w:rPr/>
            </w:pPr>
            <w:r>
              <w:rPr/>
              <w:t>Such Subsidiary Issuer Debt Securities and Subsidiary Issuer Debt Guarantees shall have been issued and sold for the consideration contemplated by, and otherwise in conformity with, the Registration Statement, as supplemented by a Prospectus Supplement with respect to such issuance and sale, and the acts, proceedings and documents referred to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905000" cy="790575"/>
            <wp:effectExtent l="0" t="0" r="0" b="0"/>
            <wp:docPr id="1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7" descr=""/>
                    <pic:cNvPicPr>
                      <a:picLocks noChangeAspect="1" noChangeArrowheads="1"/>
                    </pic:cNvPicPr>
                  </pic:nvPicPr>
                  <pic:blipFill>
                    <a:blip r:embed="rId18"/>
                    <a:stretch>
                      <a:fillRect/>
                    </a:stretch>
                  </pic:blipFill>
                  <pic:spPr bwMode="auto">
                    <a:xfrm>
                      <a:off x="0" y="0"/>
                      <a:ext cx="1905000" cy="7905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Acuity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Acuity Brands Lighting,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Acuity Intelligent Spaces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QSC,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ABL IP Holding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23,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20"/>
              </w:rPr>
            </w:pPr>
            <w:r>
              <w:rPr>
                <w:sz w:val="20"/>
              </w:rPr>
              <w:t>3.</w:t>
            </w:r>
          </w:p>
        </w:tc>
        <w:tc>
          <w:tcPr>
            <w:tcW w:w="10010" w:type="dxa"/>
            <w:tcBorders/>
            <w:vAlign w:val="center"/>
          </w:tcPr>
          <w:p>
            <w:pPr>
              <w:pStyle w:val="TableContents"/>
              <w:bidi w:val="0"/>
              <w:spacing w:before="0" w:after="283"/>
              <w:jc w:val="both"/>
              <w:rPr/>
            </w:pPr>
            <w:r>
              <w:rPr/>
              <w:t>All requisite action necessary to make any shares of Common Stock validly issued, fully paid and nonassessable will have been taken when: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a.</w:t>
            </w:r>
          </w:p>
        </w:tc>
        <w:tc>
          <w:tcPr>
            <w:tcW w:w="10012" w:type="dxa"/>
            <w:tcBorders/>
            <w:vAlign w:val="center"/>
          </w:tcPr>
          <w:p>
            <w:pPr>
              <w:pStyle w:val="TableContents"/>
              <w:bidi w:val="0"/>
              <w:spacing w:before="0" w:after="283"/>
              <w:jc w:val="both"/>
              <w:rPr/>
            </w:pPr>
            <w:r>
              <w:rPr/>
              <w:t>The Company’s Board of Directors, or a committee thereof duly authorized by the Company’s Board of Directors, shall have adopted appropriate resolutions to authorize the issuance and sale of such shares of Common Stock;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b.</w:t>
            </w:r>
          </w:p>
        </w:tc>
        <w:tc>
          <w:tcPr>
            <w:tcW w:w="9997" w:type="dxa"/>
            <w:tcBorders/>
            <w:vAlign w:val="center"/>
          </w:tcPr>
          <w:p>
            <w:pPr>
              <w:pStyle w:val="TableContents"/>
              <w:bidi w:val="0"/>
              <w:spacing w:before="0" w:after="283"/>
              <w:jc w:val="both"/>
              <w:rPr/>
            </w:pPr>
            <w:r>
              <w:rPr/>
              <w:t>Such shares of Common Stock shall have been issued and sold for the consideration contemplated by, and otherwise in conformity with, the Registration Statement, as supplemented by a Prospectus Supplement with respect to such issuance and sale, and the acts, proceedings and documents referred to above.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20"/>
              </w:rPr>
            </w:pPr>
            <w:r>
              <w:rPr>
                <w:sz w:val="20"/>
              </w:rPr>
              <w:t>4.</w:t>
            </w:r>
          </w:p>
        </w:tc>
        <w:tc>
          <w:tcPr>
            <w:tcW w:w="10010" w:type="dxa"/>
            <w:tcBorders/>
            <w:vAlign w:val="center"/>
          </w:tcPr>
          <w:p>
            <w:pPr>
              <w:pStyle w:val="TableContents"/>
              <w:bidi w:val="0"/>
              <w:spacing w:before="0" w:after="283"/>
              <w:jc w:val="both"/>
              <w:rPr/>
            </w:pPr>
            <w:r>
              <w:rPr/>
              <w:t>All requisite action necessary to make any shares of Preferred Stock validly issued, fully paid and nonassessable will have been taken when: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a.</w:t>
            </w:r>
          </w:p>
        </w:tc>
        <w:tc>
          <w:tcPr>
            <w:tcW w:w="10012" w:type="dxa"/>
            <w:tcBorders/>
            <w:vAlign w:val="center"/>
          </w:tcPr>
          <w:p>
            <w:pPr>
              <w:pStyle w:val="TableContents"/>
              <w:bidi w:val="0"/>
              <w:spacing w:before="0" w:after="283"/>
              <w:jc w:val="both"/>
              <w:rPr/>
            </w:pPr>
            <w:r>
              <w:rPr/>
              <w:t>The Company’s Board of Directors, or a committee thereof duly authorized by the Company’s Board of Directors, shall have adopted appropriate resolutions to establish the powers, designations, preferences and relative, participating, optional or other rights, if any, or the qualifications, limitations or restrictions, if any, and other terms of such shares as set forth in or contemplated by the Registration Statement, the exhibits thereto and any Prospectus Supplement relating to the Preferred Stock, and to authorize the issuance and sale of such shares of 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b.</w:t>
            </w:r>
          </w:p>
        </w:tc>
        <w:tc>
          <w:tcPr>
            <w:tcW w:w="9997" w:type="dxa"/>
            <w:tcBorders/>
            <w:vAlign w:val="center"/>
          </w:tcPr>
          <w:p>
            <w:pPr>
              <w:pStyle w:val="TableContents"/>
              <w:bidi w:val="0"/>
              <w:spacing w:before="0" w:after="283"/>
              <w:jc w:val="both"/>
              <w:rPr/>
            </w:pPr>
            <w:r>
              <w:rPr/>
              <w:t>A Certificate of Designation with respect to the powers, designations, preferences and relative, participating, optional or other rights, if any, or the qualifications, limitations or restrictions, if any, and other terms of such shares shall have been filed with the Secretary of State of the State of Delaware in the form and manner required by law;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c.</w:t>
            </w:r>
          </w:p>
        </w:tc>
        <w:tc>
          <w:tcPr>
            <w:tcW w:w="10012" w:type="dxa"/>
            <w:tcBorders/>
            <w:vAlign w:val="center"/>
          </w:tcPr>
          <w:p>
            <w:pPr>
              <w:pStyle w:val="TableContents"/>
              <w:bidi w:val="0"/>
              <w:spacing w:before="0" w:after="283"/>
              <w:jc w:val="both"/>
              <w:rPr/>
            </w:pPr>
            <w:r>
              <w:rPr/>
              <w:t>Such shares of Preferred Stock shall have been issued and sold for the consideration contemplated by, and otherwise in conformity with, the Registration Statement, as supplemented by a Prospectus Supplement with respect to such issuance and sale, and the acts, proceedings and documents referred to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905000" cy="790575"/>
            <wp:effectExtent l="0" t="0" r="0" b="0"/>
            <wp:docPr id="1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8" descr=""/>
                    <pic:cNvPicPr>
                      <a:picLocks noChangeAspect="1" noChangeArrowheads="1"/>
                    </pic:cNvPicPr>
                  </pic:nvPicPr>
                  <pic:blipFill>
                    <a:blip r:embed="rId19"/>
                    <a:stretch>
                      <a:fillRect/>
                    </a:stretch>
                  </pic:blipFill>
                  <pic:spPr bwMode="auto">
                    <a:xfrm>
                      <a:off x="0" y="0"/>
                      <a:ext cx="1905000" cy="7905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Acuity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Acuity Brands Lighting,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Acuity Intelligent Spaces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QSC,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ABL IP Holding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23,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3"/>
        <w:gridCol w:w="10034"/>
      </w:tblGrid>
      <w:tr>
        <w:trPr/>
        <w:tc>
          <w:tcPr>
            <w:tcW w:w="3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20"/>
              </w:rPr>
            </w:pPr>
            <w:r>
              <w:rPr>
                <w:sz w:val="20"/>
              </w:rPr>
              <w:t>5.</w:t>
            </w:r>
          </w:p>
        </w:tc>
        <w:tc>
          <w:tcPr>
            <w:tcW w:w="10034" w:type="dxa"/>
            <w:tcBorders/>
            <w:vAlign w:val="center"/>
          </w:tcPr>
          <w:p>
            <w:pPr>
              <w:pStyle w:val="TableContents"/>
              <w:bidi w:val="0"/>
              <w:spacing w:before="0" w:after="283"/>
              <w:jc w:val="both"/>
              <w:rPr/>
            </w:pPr>
            <w:r>
              <w:rPr/>
              <w:t>All requisite action necessary to make any depositary receipts evidencing the Depositary Shares constitute valid, legal and binding obligations of the Company, subject to (i) bankruptcy, insolvency, reorganization, fraudulent transfer, fraudulent conveyance, moratorium and other similar laws of general application affecting the rights and remedies of creditors and (ii) general principles of equity, regardless of whether applied in a proceeding in equity or at law, shall have been taken when: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a.</w:t>
            </w:r>
          </w:p>
        </w:tc>
        <w:tc>
          <w:tcPr>
            <w:tcW w:w="10012" w:type="dxa"/>
            <w:tcBorders/>
            <w:vAlign w:val="center"/>
          </w:tcPr>
          <w:p>
            <w:pPr>
              <w:pStyle w:val="TableContents"/>
              <w:bidi w:val="0"/>
              <w:spacing w:before="0" w:after="283"/>
              <w:jc w:val="both"/>
              <w:rPr/>
            </w:pPr>
            <w:r>
              <w:rPr/>
              <w:t>The Company’s Board of Directors, or a committee thereof duly authorized by the Company’s Board of Directors, shall have adopted appropriate resolutions to establish the designations and the preferences, limitations and relative rights, in whole or part, and other terms of the shares of Preferred Stock underlying the Depositary Shares as set forth in or contemplated by the Registration Statement, the exhibits thereto and any Prospectus Supplement relating to such Preferred Stock, and to authorize the issuance of such shares of 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b.</w:t>
            </w:r>
          </w:p>
        </w:tc>
        <w:tc>
          <w:tcPr>
            <w:tcW w:w="9997" w:type="dxa"/>
            <w:tcBorders/>
            <w:vAlign w:val="center"/>
          </w:tcPr>
          <w:p>
            <w:pPr>
              <w:pStyle w:val="TableContents"/>
              <w:bidi w:val="0"/>
              <w:spacing w:before="0" w:after="283"/>
              <w:jc w:val="both"/>
              <w:rPr/>
            </w:pPr>
            <w:r>
              <w:rPr/>
              <w:t>A Certificate of Designation with respect to the powers, designations, preferences and relative, participating, optional or other rights, if any, or the qualifications, limitations or restrictions, if any, and other terms of the Preferred Stock underlying the Depositary Shares shall have been filed with the Secretary of State of the State of Delaware in the form and manner required by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c.</w:t>
            </w:r>
          </w:p>
        </w:tc>
        <w:tc>
          <w:tcPr>
            <w:tcW w:w="10012" w:type="dxa"/>
            <w:tcBorders/>
            <w:vAlign w:val="center"/>
          </w:tcPr>
          <w:p>
            <w:pPr>
              <w:pStyle w:val="TableContents"/>
              <w:bidi w:val="0"/>
              <w:spacing w:before="0" w:after="283"/>
              <w:jc w:val="both"/>
              <w:rPr/>
            </w:pPr>
            <w:r>
              <w:rPr/>
              <w:t>The Company’s Board of Directors, or a committee thereof or one or more officers of the Company, in each case duly authorized by the Company’s Board of Directors, shall have taken action to approve and establish the terms of the Deposit Agreement and such Deposit Agreement shall have been duly executed and delivered;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d.</w:t>
            </w:r>
          </w:p>
        </w:tc>
        <w:tc>
          <w:tcPr>
            <w:tcW w:w="9997" w:type="dxa"/>
            <w:tcBorders/>
            <w:vAlign w:val="center"/>
          </w:tcPr>
          <w:p>
            <w:pPr>
              <w:pStyle w:val="TableContents"/>
              <w:bidi w:val="0"/>
              <w:spacing w:before="0" w:after="283"/>
              <w:jc w:val="both"/>
              <w:rPr/>
            </w:pPr>
            <w:r>
              <w:rPr/>
              <w:t>The Preferred Stock underlying the Depositary Shares shall have been duly issued and delivered to the Depositary;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e.</w:t>
            </w:r>
          </w:p>
        </w:tc>
        <w:tc>
          <w:tcPr>
            <w:tcW w:w="10012" w:type="dxa"/>
            <w:tcBorders/>
            <w:vAlign w:val="center"/>
          </w:tcPr>
          <w:p>
            <w:pPr>
              <w:pStyle w:val="TableContents"/>
              <w:bidi w:val="0"/>
              <w:spacing w:before="0" w:after="283"/>
              <w:jc w:val="both"/>
              <w:rPr/>
            </w:pPr>
            <w:r>
              <w:rPr/>
              <w:t>The terms of such Depositary Shares and depositary receipts evidencing the Depositary Shares and of their issuance and sale shall have been established so as not to violate any applicable law or result in a default under or breach of any agreement or instrument binding upon the Company and so as to comply with any requirements or restrictions imposed by any court or governmental entity having jurisdiction over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f.</w:t>
            </w:r>
          </w:p>
        </w:tc>
        <w:tc>
          <w:tcPr>
            <w:tcW w:w="10042" w:type="dxa"/>
            <w:tcBorders/>
            <w:vAlign w:val="center"/>
          </w:tcPr>
          <w:p>
            <w:pPr>
              <w:pStyle w:val="TableContents"/>
              <w:bidi w:val="0"/>
              <w:spacing w:before="0" w:after="283"/>
              <w:jc w:val="both"/>
              <w:rPr/>
            </w:pPr>
            <w:r>
              <w:rPr/>
              <w:t>Such Depositary Shares and depositary receipts evidencing the Depositary Shares shall have been duly executed, issued and delivered in accordance with the Deposit Agreement and their respective terms and provisions;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905000" cy="790575"/>
            <wp:effectExtent l="0" t="0" r="0" b="0"/>
            <wp:docPr id="1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9" descr=""/>
                    <pic:cNvPicPr>
                      <a:picLocks noChangeAspect="1" noChangeArrowheads="1"/>
                    </pic:cNvPicPr>
                  </pic:nvPicPr>
                  <pic:blipFill>
                    <a:blip r:embed="rId20"/>
                    <a:stretch>
                      <a:fillRect/>
                    </a:stretch>
                  </pic:blipFill>
                  <pic:spPr bwMode="auto">
                    <a:xfrm>
                      <a:off x="0" y="0"/>
                      <a:ext cx="1905000" cy="7905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Acuity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Acuity Brands Lighting,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Acuity Intelligent Spaces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QSC,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ABL IP Holding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23,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7</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g.</w:t>
            </w:r>
          </w:p>
        </w:tc>
        <w:tc>
          <w:tcPr>
            <w:tcW w:w="9997" w:type="dxa"/>
            <w:tcBorders/>
            <w:vAlign w:val="center"/>
          </w:tcPr>
          <w:p>
            <w:pPr>
              <w:pStyle w:val="TableContents"/>
              <w:bidi w:val="0"/>
              <w:spacing w:before="0" w:after="283"/>
              <w:jc w:val="both"/>
              <w:rPr/>
            </w:pPr>
            <w:r>
              <w:rPr/>
              <w:t>Such Depositary Shares and depositary receipts evidencing the Depositary Shares shall have been issued and sold for the consideration contemplated by, and otherwise in conformity with, the Registration Statement, as supplemented by a Prospectus Supplement with respect to such issuance and sale, and the acts, proceedings and documents referred to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as to the laws of any jurisdiction other than the States of New York, Georgia and California, the provisions of the Delaware General Corporation Law and the federal laws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reference to our firm under the caption “Validity of the Securities” in the Prospectus which is filed as part of the Registration Statement, and to the filing of this opinion as an exhibit to the Registration Statement. In giving this consent, we do not admit that we are “experts” within the meaning of Section 11 of the Securities Act or within the category of persons whose consent is required by Section 7 of the Securities Act.</w:t>
      </w:r>
    </w:p>
    <w:p>
      <w:pPr>
        <w:pStyle w:val="TextBody"/>
        <w:bidi w:val="0"/>
        <w:spacing w:before="0" w:after="0"/>
        <w:ind w:left="0" w:right="0" w:hanging="0"/>
        <w:jc w:val="left"/>
        <w:rPr>
          <w:caps w:val="false"/>
          <w:smallCaps w:val="false"/>
        </w:rPr>
      </w:pPr>
      <w:r>
        <w:rPr>
          <w:caps w:val="false"/>
          <w:smallCaps w:val="false"/>
        </w:rPr>
        <w:t> </w:t>
      </w:r>
    </w:p>
    <w:tbl>
      <w:tblPr>
        <w:tblW w:w="2075" w:type="dxa"/>
        <w:jc w:val="left"/>
        <w:tblInd w:w="0" w:type="dxa"/>
        <w:tblLayout w:type="fixed"/>
        <w:tblCellMar>
          <w:top w:w="0" w:type="dxa"/>
          <w:left w:w="0" w:type="dxa"/>
          <w:bottom w:w="0" w:type="dxa"/>
          <w:right w:w="0" w:type="dxa"/>
        </w:tblCellMar>
      </w:tblPr>
      <w:tblGrid>
        <w:gridCol w:w="75"/>
        <w:gridCol w:w="2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Foley &amp; Lardner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caps w:val="false"/>
          <w:smallCaps w:val="false"/>
        </w:rPr>
      </w:pPr>
      <w:bookmarkStart w:id="24" w:name="tm2627553d2_ex23-1.htm"/>
      <w:bookmarkStart w:id="25" w:name="kstm2627553d2_ex231"/>
      <w:bookmarkEnd w:id="24"/>
      <w:bookmarkEnd w:id="25"/>
      <w:r>
        <w:rPr>
          <w:caps w:val="false"/>
          <w:smallCaps w:val="false"/>
        </w:rPr>
        <w:t> </w:t>
      </w:r>
      <w:r>
        <w:br w:type="page"/>
      </w:r>
    </w:p>
    <w:p>
      <w:pPr>
        <w:pStyle w:val="TextBody"/>
        <w:bidi w:val="0"/>
        <w:spacing w:before="0" w:after="0"/>
        <w:ind w:left="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in this Registration Statement (Form S-3) and related Prospectus of Acuity Inc. for the registration of common stock, preferred stock, depositary shares, and debt securities of Acuity Inc., debt securities of Acuity Brands Lighting, Inc. and guarantees of such debt securities of Acuity Inc., Acuity Brands Lighting, Inc., Acuity Intelligent Spaces Inc., QSC, LLC, and ABL IP Holding LLC and to the incorporation by reference therein of our reports dated October 23, 2026, with respect to the consolidated financial statements of Acuity Inc., and the effectiveness of internal control over financial reporting of Acuity Inc., included in its Annual Report (Form 10-K) for the year ended August 31, 2026,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6" w:name="tm2627553d2_ex25-1.htm"/>
      <w:bookmarkStart w:id="27" w:name="kstm2627553d2_ex25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8"/>
        </w:rPr>
      </w:pPr>
      <w:r>
        <w:rPr>
          <w:rFonts w:ascii="Times New Roman;Times;Serif" w:hAnsi="Times New Roman;Times;Serif"/>
          <w:b/>
          <w:i w:val="false"/>
          <w:smallCaps/>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Statement of Eligibility Under</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Trust Indenture Act of 1939 of a</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Corporation Designated to Act as Trustee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an Application to Determine Eligibility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Trustee Pursuant to Section 305(b)(2)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U.S. BANK TRUST COMPANY, NATIONAL ASSOCIATION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Trustee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91-1821036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10" w:type="dxa"/>
        <w:tblLayout w:type="fixed"/>
        <w:tblCellMar>
          <w:top w:w="28" w:type="dxa"/>
          <w:left w:w="108" w:type="dxa"/>
          <w:bottom w:w="28" w:type="dxa"/>
          <w:right w:w="108" w:type="dxa"/>
        </w:tblCellMar>
      </w:tblPr>
      <w:tblGrid>
        <w:gridCol w:w="3215"/>
        <w:gridCol w:w="920"/>
      </w:tblGrid>
      <w:tr>
        <w:trPr/>
        <w:tc>
          <w:tcPr>
            <w:tcW w:w="3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South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Minnesota</w:t>
            </w:r>
          </w:p>
        </w:tc>
        <w:tc>
          <w:tcPr>
            <w:tcW w:w="9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55402</w:t>
            </w:r>
          </w:p>
        </w:tc>
      </w:tr>
      <w:tr>
        <w:trPr/>
        <w:tc>
          <w:tcPr>
            <w:tcW w:w="32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Felicia H. Powell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Concourse Parkway, Suite 800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GA 30328-5588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 898-8828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ACUITY BRANDS LIGHTNING,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w:t>
      </w:r>
      <w:r>
        <w:rPr>
          <w:rFonts w:ascii="Times New Roman;Times;Serif" w:hAnsi="Times New Roman;Times;Serif"/>
          <w:b/>
          <w:i w:val="false"/>
          <w:caps w:val="false"/>
          <w:smallCaps w:val="false"/>
          <w:sz w:val="20"/>
        </w:rPr>
        <w:t>*and each of the additional registrants listed on the next page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with respect to the Securities)</w:t>
      </w:r>
    </w:p>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10" w:type="dxa"/>
        <w:tblLayout w:type="fixed"/>
        <w:tblCellMar>
          <w:top w:w="28" w:type="dxa"/>
          <w:left w:w="108" w:type="dxa"/>
          <w:bottom w:w="28" w:type="dxa"/>
          <w:right w:w="108" w:type="dxa"/>
        </w:tblCellMar>
      </w:tblPr>
      <w:tblGrid>
        <w:gridCol w:w="4880"/>
        <w:gridCol w:w="2915"/>
      </w:tblGrid>
      <w:tr>
        <w:trPr/>
        <w:tc>
          <w:tcPr>
            <w:tcW w:w="48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29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58-2633371</w:t>
            </w:r>
          </w:p>
        </w:tc>
      </w:tr>
      <w:tr>
        <w:trPr/>
        <w:tc>
          <w:tcPr>
            <w:tcW w:w="48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29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10" w:type="dxa"/>
        <w:jc w:val="left"/>
        <w:tblInd w:w="-10" w:type="dxa"/>
        <w:tblLayout w:type="fixed"/>
        <w:tblCellMar>
          <w:top w:w="28" w:type="dxa"/>
          <w:left w:w="108" w:type="dxa"/>
          <w:bottom w:w="28" w:type="dxa"/>
          <w:right w:w="108" w:type="dxa"/>
        </w:tblCellMar>
      </w:tblPr>
      <w:tblGrid>
        <w:gridCol w:w="3290"/>
        <w:gridCol w:w="920"/>
      </w:tblGrid>
      <w:tr>
        <w:trPr/>
        <w:tc>
          <w:tcPr>
            <w:tcW w:w="32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1170 Peachtreee Street, N.E., Suite 1200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GA</w:t>
            </w:r>
          </w:p>
        </w:tc>
        <w:tc>
          <w:tcPr>
            <w:tcW w:w="9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30309</w:t>
            </w:r>
          </w:p>
        </w:tc>
      </w:tr>
      <w:tr>
        <w:trPr/>
        <w:tc>
          <w:tcPr>
            <w:tcW w:w="32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and Guarantees of Debt Securities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the Indenture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CO-REGISTRANTS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46"/>
        <w:gridCol w:w="3742"/>
        <w:gridCol w:w="2617"/>
      </w:tblGrid>
      <w:tr>
        <w:trPr/>
        <w:tc>
          <w:tcPr>
            <w:tcW w:w="3846"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Exact name of Registrant*</w:t>
            </w:r>
          </w:p>
        </w:tc>
        <w:tc>
          <w:tcPr>
            <w:tcW w:w="374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Jurisdiction of Formation</w:t>
            </w:r>
          </w:p>
        </w:tc>
        <w:tc>
          <w:tcPr>
            <w:tcW w:w="2617"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r>
        <w:trPr/>
        <w:tc>
          <w:tcPr>
            <w:tcW w:w="384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Acuity Inc.</w:t>
            </w:r>
          </w:p>
        </w:tc>
        <w:tc>
          <w:tcPr>
            <w:tcW w:w="374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261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58-2632672</w:t>
            </w:r>
          </w:p>
        </w:tc>
      </w:tr>
      <w:tr>
        <w:trPr/>
        <w:tc>
          <w:tcPr>
            <w:tcW w:w="384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ABL IP Holding LLC</w:t>
            </w:r>
          </w:p>
        </w:tc>
        <w:tc>
          <w:tcPr>
            <w:tcW w:w="374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Georgia</w:t>
            </w:r>
          </w:p>
        </w:tc>
        <w:tc>
          <w:tcPr>
            <w:tcW w:w="261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93-4672136</w:t>
            </w:r>
          </w:p>
        </w:tc>
      </w:tr>
      <w:tr>
        <w:trPr/>
        <w:tc>
          <w:tcPr>
            <w:tcW w:w="3846" w:type="dxa"/>
            <w:tcBorders/>
            <w:vAlign w:val="center"/>
          </w:tcPr>
          <w:p>
            <w:pPr>
              <w:pStyle w:val="TableContents"/>
              <w:bidi w:val="0"/>
              <w:spacing w:before="0" w:after="283"/>
              <w:jc w:val="center"/>
              <w:rPr/>
            </w:pPr>
            <w:r>
              <w:rPr/>
              <w:t> </w:t>
            </w:r>
          </w:p>
        </w:tc>
        <w:tc>
          <w:tcPr>
            <w:tcW w:w="3742" w:type="dxa"/>
            <w:tcBorders/>
            <w:vAlign w:val="center"/>
          </w:tcPr>
          <w:p>
            <w:pPr>
              <w:pStyle w:val="TableContents"/>
              <w:bidi w:val="0"/>
              <w:spacing w:before="0" w:after="283"/>
              <w:jc w:val="center"/>
              <w:rPr/>
            </w:pPr>
            <w:r>
              <w:rPr/>
              <w:t> </w:t>
            </w:r>
          </w:p>
        </w:tc>
        <w:tc>
          <w:tcPr>
            <w:tcW w:w="2617" w:type="dxa"/>
            <w:tcBorders/>
            <w:vAlign w:val="center"/>
          </w:tcPr>
          <w:p>
            <w:pPr>
              <w:pStyle w:val="TableContents"/>
              <w:bidi w:val="0"/>
              <w:spacing w:before="0" w:after="283"/>
              <w:jc w:val="center"/>
              <w:rPr/>
            </w:pPr>
            <w:r>
              <w:rPr/>
              <w:t> </w:t>
            </w:r>
          </w:p>
        </w:tc>
      </w:tr>
      <w:tr>
        <w:trPr/>
        <w:tc>
          <w:tcPr>
            <w:tcW w:w="3846" w:type="dxa"/>
            <w:tcBorders/>
            <w:vAlign w:val="center"/>
          </w:tcPr>
          <w:p>
            <w:pPr>
              <w:pStyle w:val="TableContents"/>
              <w:bidi w:val="0"/>
              <w:spacing w:before="0" w:after="283"/>
              <w:jc w:val="center"/>
              <w:rPr/>
            </w:pPr>
            <w:r>
              <w:rPr/>
              <w:t> </w:t>
            </w:r>
          </w:p>
        </w:tc>
        <w:tc>
          <w:tcPr>
            <w:tcW w:w="3742" w:type="dxa"/>
            <w:tcBorders/>
            <w:vAlign w:val="center"/>
          </w:tcPr>
          <w:p>
            <w:pPr>
              <w:pStyle w:val="TableContents"/>
              <w:bidi w:val="0"/>
              <w:spacing w:before="0" w:after="283"/>
              <w:jc w:val="center"/>
              <w:rPr/>
            </w:pPr>
            <w:r>
              <w:rPr/>
              <w:t> </w:t>
            </w:r>
          </w:p>
        </w:tc>
        <w:tc>
          <w:tcPr>
            <w:tcW w:w="2617" w:type="dxa"/>
            <w:tcBorders/>
            <w:vAlign w:val="center"/>
          </w:tcPr>
          <w:p>
            <w:pPr>
              <w:pStyle w:val="TableContents"/>
              <w:bidi w:val="0"/>
              <w:spacing w:before="0" w:after="283"/>
              <w:jc w:val="center"/>
              <w:rPr/>
            </w:pPr>
            <w:r>
              <w:rPr/>
              <w:t> </w:t>
            </w:r>
          </w:p>
        </w:tc>
      </w:tr>
      <w:tr>
        <w:trPr/>
        <w:tc>
          <w:tcPr>
            <w:tcW w:w="10205"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for each of the additional registrants is c/o Acuity Brands, Inc., 1170 Peachtree Street, N.E. Suite 1200, Atlanta, Georgia 30309.</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T-1</w:t>
      </w:r>
    </w:p>
    <w:p>
      <w:pPr>
        <w:pStyle w:val="TextBody"/>
        <w:bidi w:val="0"/>
        <w:spacing w:before="0" w:after="0"/>
        <w:ind w:left="0" w:right="0" w:hanging="0"/>
        <w:jc w:val="left"/>
        <w:rPr>
          <w:caps w:val="false"/>
          <w:smallCaps w:val="false"/>
        </w:rPr>
      </w:pPr>
      <w:r>
        <w:rPr>
          <w:caps w:val="false"/>
          <w:smallCaps w:val="false"/>
        </w:rPr>
        <w:t> </w:t>
      </w:r>
    </w:p>
    <w:tbl>
      <w:tblPr>
        <w:tblW w:w="8073" w:type="dxa"/>
        <w:jc w:val="left"/>
        <w:tblInd w:w="0" w:type="dxa"/>
        <w:tblLayout w:type="fixed"/>
        <w:tblCellMar>
          <w:top w:w="0" w:type="dxa"/>
          <w:left w:w="0" w:type="dxa"/>
          <w:bottom w:w="0" w:type="dxa"/>
          <w:right w:w="0" w:type="dxa"/>
        </w:tblCellMar>
      </w:tblPr>
      <w:tblGrid>
        <w:gridCol w:w="38"/>
        <w:gridCol w:w="605"/>
        <w:gridCol w:w="7430"/>
      </w:tblGrid>
      <w:tr>
        <w:trPr/>
        <w:tc>
          <w:tcPr>
            <w:tcW w:w="3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b/>
                <w:sz w:val="20"/>
              </w:rPr>
            </w:pPr>
            <w:r>
              <w:rPr>
                <w:b/>
                <w:sz w:val="20"/>
              </w:rPr>
              <w:t>Item 1.</w:t>
            </w:r>
          </w:p>
        </w:tc>
        <w:tc>
          <w:tcPr>
            <w:tcW w:w="7430" w:type="dxa"/>
            <w:tcBorders/>
            <w:vAlign w:val="center"/>
          </w:tcPr>
          <w:p>
            <w:pPr>
              <w:pStyle w:val="TableContents"/>
              <w:bidi w:val="0"/>
              <w:spacing w:before="0" w:after="283"/>
              <w:jc w:val="both"/>
              <w:rPr/>
            </w:pPr>
            <w:r>
              <w:rPr>
                <w:b/>
                <w:sz w:val="20"/>
              </w:rPr>
              <w:t>GENERAL INFORMATION</w:t>
            </w:r>
            <w:r>
              <w:rPr>
                <w:b/>
                <w:i/>
                <w:sz w:val="20"/>
              </w:rPr>
              <w:t>.</w:t>
            </w:r>
            <w:r>
              <w:rPr/>
              <w:t xml:space="preserve"> Furnish the following information as to the Trustee.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48"/>
        <w:gridCol w:w="9910"/>
      </w:tblGrid>
      <w:tr>
        <w:trPr/>
        <w:tc>
          <w:tcPr>
            <w:tcW w:w="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a)</w:t>
            </w:r>
          </w:p>
        </w:tc>
        <w:tc>
          <w:tcPr>
            <w:tcW w:w="9910" w:type="dxa"/>
            <w:tcBorders/>
            <w:vAlign w:val="center"/>
          </w:tcPr>
          <w:p>
            <w:pPr>
              <w:pStyle w:val="TableContents"/>
              <w:bidi w:val="0"/>
              <w:spacing w:before="0" w:after="283"/>
              <w:jc w:val="left"/>
              <w:rPr>
                <w:i/>
              </w:rPr>
            </w:pPr>
            <w:r>
              <w:rPr>
                <w:i/>
              </w:rPr>
              <w:t>Name and address of each examining or supervising authority to which it is subject.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Comptroller of the Currency</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w:t>
      </w:r>
    </w:p>
    <w:p>
      <w:pPr>
        <w:pStyle w:val="TextBody"/>
        <w:bidi w:val="0"/>
        <w:spacing w:before="0" w:after="0"/>
        <w:ind w:left="0" w:right="0" w:hanging="0"/>
        <w:jc w:val="left"/>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185"/>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20"/>
              </w:rPr>
            </w:pPr>
            <w:r>
              <w:rPr>
                <w:sz w:val="20"/>
              </w:rPr>
              <w:t>b)</w:t>
            </w:r>
          </w:p>
        </w:tc>
        <w:tc>
          <w:tcPr>
            <w:tcW w:w="5630" w:type="dxa"/>
            <w:tcBorders/>
            <w:vAlign w:val="center"/>
          </w:tcPr>
          <w:p>
            <w:pPr>
              <w:pStyle w:val="TableContents"/>
              <w:bidi w:val="0"/>
              <w:spacing w:before="0" w:after="283"/>
              <w:jc w:val="both"/>
              <w:rPr>
                <w:i/>
              </w:rPr>
            </w:pPr>
            <w:r>
              <w:rPr>
                <w:i/>
              </w:rPr>
              <w:t>Whether it is authorized to exercise corporate trust powers.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88"/>
        <w:gridCol w:w="9579"/>
      </w:tblGrid>
      <w:tr>
        <w:trPr/>
        <w:tc>
          <w:tcPr>
            <w:tcW w:w="3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b/>
                <w:sz w:val="20"/>
              </w:rPr>
            </w:pPr>
            <w:r>
              <w:rPr>
                <w:b/>
                <w:sz w:val="20"/>
              </w:rPr>
              <w:t>Item 2.</w:t>
            </w:r>
          </w:p>
        </w:tc>
        <w:tc>
          <w:tcPr>
            <w:tcW w:w="9579" w:type="dxa"/>
            <w:tcBorders/>
            <w:vAlign w:val="center"/>
          </w:tcPr>
          <w:p>
            <w:pPr>
              <w:pStyle w:val="TableContents"/>
              <w:bidi w:val="0"/>
              <w:spacing w:before="0" w:after="283"/>
              <w:jc w:val="both"/>
              <w:rPr/>
            </w:pPr>
            <w:r>
              <w:rPr>
                <w:b/>
                <w:sz w:val="20"/>
              </w:rPr>
              <w:t xml:space="preserve">AFFILIATIONS WITH THE OBLIGOR. </w:t>
            </w:r>
            <w:r>
              <w:rPr>
                <w:i/>
              </w:rPr>
              <w:t>If the obligor is an affiliate of the Trustee, describe each such affiliation.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728"/>
        <w:gridCol w:w="9439"/>
      </w:tblGrid>
      <w:tr>
        <w:trPr/>
        <w:tc>
          <w:tcPr>
            <w:tcW w:w="3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b/>
                <w:sz w:val="20"/>
              </w:rPr>
            </w:pPr>
            <w:r>
              <w:rPr>
                <w:b/>
                <w:sz w:val="20"/>
              </w:rPr>
              <w:t>Items 3-15</w:t>
            </w:r>
          </w:p>
        </w:tc>
        <w:tc>
          <w:tcPr>
            <w:tcW w:w="9439" w:type="dxa"/>
            <w:tcBorders/>
            <w:vAlign w:val="center"/>
          </w:tcPr>
          <w:p>
            <w:pPr>
              <w:pStyle w:val="TableContents"/>
              <w:bidi w:val="0"/>
              <w:spacing w:before="0" w:after="283"/>
              <w:jc w:val="both"/>
              <w:rPr>
                <w:i/>
              </w:rPr>
            </w:pPr>
            <w:r>
              <w:rPr>
                <w:i/>
              </w:rPr>
              <w:t>Items 3-15 are not applicable because to the best of the Trustee's knowledge, the obligor is not in default under any Indenture for which the Trustee acts as Trustee.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97"/>
        <w:gridCol w:w="9470"/>
      </w:tblGrid>
      <w:tr>
        <w:trPr/>
        <w:tc>
          <w:tcPr>
            <w:tcW w:w="3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b/>
                <w:sz w:val="20"/>
              </w:rPr>
            </w:pPr>
            <w:r>
              <w:rPr>
                <w:b/>
                <w:sz w:val="20"/>
              </w:rPr>
              <w:t>Item 16.</w:t>
            </w:r>
          </w:p>
        </w:tc>
        <w:tc>
          <w:tcPr>
            <w:tcW w:w="9470" w:type="dxa"/>
            <w:tcBorders/>
            <w:vAlign w:val="center"/>
          </w:tcPr>
          <w:p>
            <w:pPr>
              <w:pStyle w:val="TableContents"/>
              <w:bidi w:val="0"/>
              <w:spacing w:before="0" w:after="283"/>
              <w:jc w:val="both"/>
              <w:rPr/>
            </w:pPr>
            <w:r>
              <w:rPr>
                <w:b/>
                <w:sz w:val="20"/>
              </w:rPr>
              <w:t>LIST OF EXHIBITS:</w:t>
            </w:r>
            <w:r>
              <w:rPr/>
              <w:t xml:space="preserve"> </w:t>
            </w:r>
            <w:r>
              <w:rPr>
                <w:i/>
              </w:rPr>
              <w:t>List below all exhibits filed as a part of this statement of eligibility and qualification.</w:t>
            </w:r>
          </w:p>
        </w:tc>
      </w:tr>
    </w:tbl>
    <w:p>
      <w:pPr>
        <w:pStyle w:val="TextBody"/>
        <w:bidi w:val="0"/>
        <w:spacing w:before="0" w:after="0"/>
        <w:ind w:left="0" w:right="0" w:hanging="0"/>
        <w:jc w:val="left"/>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38"/>
        <w:gridCol w:w="200"/>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7070" w:type="dxa"/>
            <w:tcBorders/>
            <w:vAlign w:val="center"/>
          </w:tcPr>
          <w:p>
            <w:pPr>
              <w:pStyle w:val="TableContents"/>
              <w:bidi w:val="0"/>
              <w:spacing w:before="0" w:after="283"/>
              <w:jc w:val="both"/>
              <w:rPr/>
            </w:pPr>
            <w:r>
              <w:rPr/>
              <w:t>A copy of the Articles of Association of the Trustee, attached as Exhibit 1.</w:t>
            </w:r>
          </w:p>
        </w:tc>
      </w:tr>
    </w:tbl>
    <w:p>
      <w:pPr>
        <w:pStyle w:val="TextBody"/>
        <w:bidi w:val="0"/>
        <w:spacing w:before="0" w:after="0"/>
        <w:ind w:left="0" w:right="0" w:hanging="0"/>
        <w:jc w:val="left"/>
        <w:rPr>
          <w:caps w:val="false"/>
          <w:smallCaps w:val="false"/>
        </w:rPr>
      </w:pPr>
      <w:r>
        <w:rPr>
          <w:caps w:val="false"/>
          <w:smallCaps w:val="false"/>
        </w:rPr>
        <w:t> </w:t>
      </w:r>
    </w:p>
    <w:tbl>
      <w:tblPr>
        <w:tblW w:w="9393" w:type="dxa"/>
        <w:jc w:val="left"/>
        <w:tblInd w:w="0" w:type="dxa"/>
        <w:tblLayout w:type="fixed"/>
        <w:tblCellMar>
          <w:top w:w="0" w:type="dxa"/>
          <w:left w:w="0" w:type="dxa"/>
          <w:bottom w:w="0" w:type="dxa"/>
          <w:right w:w="0" w:type="dxa"/>
        </w:tblCellMar>
      </w:tblPr>
      <w:tblGrid>
        <w:gridCol w:w="38"/>
        <w:gridCol w:w="200"/>
        <w:gridCol w:w="91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9155" w:type="dxa"/>
            <w:tcBorders/>
            <w:vAlign w:val="center"/>
          </w:tcPr>
          <w:p>
            <w:pPr>
              <w:pStyle w:val="TableContents"/>
              <w:bidi w:val="0"/>
              <w:spacing w:before="0" w:after="283"/>
              <w:jc w:val="both"/>
              <w:rPr/>
            </w:pPr>
            <w:r>
              <w:rPr/>
              <w:t>A copy of the certificate of authority of the Trustee to commence business, attached as Exhibit 2.</w:t>
            </w:r>
          </w:p>
        </w:tc>
      </w:tr>
    </w:tbl>
    <w:p>
      <w:pPr>
        <w:pStyle w:val="TextBody"/>
        <w:bidi w:val="0"/>
        <w:spacing w:before="0" w:after="0"/>
        <w:ind w:left="0" w:right="0" w:hanging="0"/>
        <w:jc w:val="left"/>
        <w:rPr>
          <w:caps w:val="false"/>
          <w:smallCaps w:val="false"/>
        </w:rPr>
      </w:pPr>
      <w:r>
        <w:rPr>
          <w:caps w:val="false"/>
          <w:smallCaps w:val="false"/>
        </w:rPr>
        <w:t> </w:t>
      </w:r>
    </w:p>
    <w:tbl>
      <w:tblPr>
        <w:tblW w:w="9633" w:type="dxa"/>
        <w:jc w:val="left"/>
        <w:tblInd w:w="0" w:type="dxa"/>
        <w:tblLayout w:type="fixed"/>
        <w:tblCellMar>
          <w:top w:w="0" w:type="dxa"/>
          <w:left w:w="0" w:type="dxa"/>
          <w:bottom w:w="0" w:type="dxa"/>
          <w:right w:w="0" w:type="dxa"/>
        </w:tblCellMar>
      </w:tblPr>
      <w:tblGrid>
        <w:gridCol w:w="38"/>
        <w:gridCol w:w="20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9395" w:type="dxa"/>
            <w:tcBorders/>
            <w:vAlign w:val="center"/>
          </w:tcPr>
          <w:p>
            <w:pPr>
              <w:pStyle w:val="TableContents"/>
              <w:bidi w:val="0"/>
              <w:spacing w:before="0" w:after="283"/>
              <w:jc w:val="both"/>
              <w:rPr/>
            </w:pPr>
            <w:r>
              <w:rPr/>
              <w:t>A copy of the authorization of the Trustee to exercise corporate trust powers, included as Exhibit 2.</w:t>
            </w:r>
          </w:p>
        </w:tc>
      </w:tr>
    </w:tbl>
    <w:p>
      <w:pPr>
        <w:pStyle w:val="TextBody"/>
        <w:bidi w:val="0"/>
        <w:spacing w:before="0" w:after="0"/>
        <w:ind w:left="0" w:right="0" w:hanging="0"/>
        <w:jc w:val="left"/>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200"/>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6380" w:type="dxa"/>
            <w:tcBorders/>
            <w:vAlign w:val="center"/>
          </w:tcPr>
          <w:p>
            <w:pPr>
              <w:pStyle w:val="TableContents"/>
              <w:bidi w:val="0"/>
              <w:spacing w:before="0" w:after="283"/>
              <w:jc w:val="both"/>
              <w:rPr/>
            </w:pPr>
            <w:r>
              <w:rPr/>
              <w:t>A copy of the existing bylaws of the Trustee, attached as Exhibit 4.</w:t>
            </w:r>
          </w:p>
        </w:tc>
      </w:tr>
    </w:tbl>
    <w:p>
      <w:pPr>
        <w:pStyle w:val="TextBody"/>
        <w:bidi w:val="0"/>
        <w:spacing w:before="0" w:after="0"/>
        <w:ind w:left="0" w:right="0" w:hanging="0"/>
        <w:jc w:val="left"/>
        <w:rPr>
          <w:caps w:val="false"/>
          <w:smallCaps w:val="false"/>
        </w:rPr>
      </w:pPr>
      <w:r>
        <w:rPr>
          <w:caps w:val="false"/>
          <w:smallCaps w:val="false"/>
        </w:rPr>
        <w:t> </w:t>
      </w:r>
    </w:p>
    <w:tbl>
      <w:tblPr>
        <w:tblW w:w="6183" w:type="dxa"/>
        <w:jc w:val="left"/>
        <w:tblInd w:w="0" w:type="dxa"/>
        <w:tblLayout w:type="fixed"/>
        <w:tblCellMar>
          <w:top w:w="0" w:type="dxa"/>
          <w:left w:w="0" w:type="dxa"/>
          <w:bottom w:w="0" w:type="dxa"/>
          <w:right w:w="0" w:type="dxa"/>
        </w:tblCellMar>
      </w:tblPr>
      <w:tblGrid>
        <w:gridCol w:w="38"/>
        <w:gridCol w:w="200"/>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5.</w:t>
            </w:r>
          </w:p>
        </w:tc>
        <w:tc>
          <w:tcPr>
            <w:tcW w:w="5945" w:type="dxa"/>
            <w:tcBorders/>
            <w:vAlign w:val="center"/>
          </w:tcPr>
          <w:p>
            <w:pPr>
              <w:pStyle w:val="TableContents"/>
              <w:bidi w:val="0"/>
              <w:spacing w:before="0" w:after="283"/>
              <w:jc w:val="both"/>
              <w:rPr/>
            </w:pPr>
            <w:r>
              <w:rPr/>
              <w:t>A copy of each Indenture referred to in Item 4. Not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6.</w:t>
            </w:r>
          </w:p>
        </w:tc>
        <w:tc>
          <w:tcPr>
            <w:tcW w:w="9972" w:type="dxa"/>
            <w:tcBorders/>
            <w:vAlign w:val="center"/>
          </w:tcPr>
          <w:p>
            <w:pPr>
              <w:pStyle w:val="TableContents"/>
              <w:bidi w:val="0"/>
              <w:spacing w:before="0" w:after="283"/>
              <w:jc w:val="both"/>
              <w:rPr/>
            </w:pPr>
            <w:r>
              <w:rPr/>
              <w:t>The consent of the Trustee required by Section 321(b) of the Trust Indenture Act of 1939, attached as Exhibit 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6"/>
        <w:gridCol w:w="9991"/>
      </w:tblGrid>
      <w:tr>
        <w:trPr/>
        <w:tc>
          <w:tcPr>
            <w:tcW w:w="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7.</w:t>
            </w:r>
          </w:p>
        </w:tc>
        <w:tc>
          <w:tcPr>
            <w:tcW w:w="9991" w:type="dxa"/>
            <w:tcBorders/>
            <w:vAlign w:val="center"/>
          </w:tcPr>
          <w:p>
            <w:pPr>
              <w:pStyle w:val="TableContents"/>
              <w:bidi w:val="0"/>
              <w:spacing w:before="0" w:after="283"/>
              <w:jc w:val="both"/>
              <w:rPr/>
            </w:pPr>
            <w:r>
              <w:rPr/>
              <w:t>Report of Condition of the Trustee as of June 30, 2026, published pursuant to law or the requirements of its supervising or examining authority, attached as Exhibit 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to be signed on its behalf by the undersigned, thereunto duly authorized, all in the City of Atlanta, State of Georgia on the 16th of October, 2026.</w:t>
      </w:r>
    </w:p>
    <w:p>
      <w:pPr>
        <w:pStyle w:val="TextBody"/>
        <w:bidi w:val="0"/>
        <w:spacing w:before="0" w:after="0"/>
        <w:ind w:left="0" w:right="0" w:hanging="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75"/>
        <w:gridCol w:w="320"/>
        <w:gridCol w:w="16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Felicia H. Powell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Felicia H. Powell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ARTICLES OF ASSOCIATION </w:t>
        <w:br/>
        <w:t>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 S. BANK TRUST COMPANY,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organizing an association (the “Association”) to perform any lawful activities of national banks, the undersigned enter into the following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FIRST. </w:t>
      </w:r>
      <w:r>
        <w:rPr>
          <w:rFonts w:ascii="Times New Roman;Times;Serif" w:hAnsi="Times New Roman;Times;Serif"/>
          <w:b w:val="false"/>
          <w:i w:val="false"/>
          <w:caps w:val="false"/>
          <w:smallCaps w:val="false"/>
          <w:sz w:val="20"/>
        </w:rPr>
        <w:t>The title of this Association shall be U. S. Bank Trust Company,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SECOND. </w:t>
      </w:r>
      <w:r>
        <w:rPr>
          <w:rFonts w:ascii="Times New Roman;Times;Serif" w:hAnsi="Times New Roman;Times;Serif"/>
          <w:b w:val="false"/>
          <w:i w:val="false"/>
          <w:caps w:val="false"/>
          <w:smallCaps w:val="false"/>
          <w:sz w:val="20"/>
        </w:rPr>
        <w:t>The main office of the Association shall be in the city of Portland, county of Multnomah, state of Oregon. The business of the Association will be limited to fiduciary powers and the support of activities incidental to the exercise of those powers. The Association may not expand or alter its business beyond that stated in this article without the prior approval of the Comptroller of the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w:t>
      </w:r>
      <w:r>
        <w:rPr>
          <w:rFonts w:ascii="Times New Roman;Times;Serif" w:hAnsi="Times New Roman;Times;Serif"/>
          <w:b w:val="false"/>
          <w:i w:val="false"/>
          <w:caps w:val="false"/>
          <w:smallCaps w:val="false"/>
          <w:sz w:val="20"/>
        </w:rPr>
        <w:t xml:space="preserve"> The board of directors of the Association shall consist of not less than five nor more than twenty-five persons, the exact number to be fixed and 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FOURTH. </w:t>
      </w:r>
      <w:r>
        <w:rPr>
          <w:rFonts w:ascii="Times New Roman;Times;Serif" w:hAnsi="Times New Roman;Times;Serif"/>
          <w:b w:val="false"/>
          <w:i w:val="false"/>
          <w:caps w:val="false"/>
          <w:smallCaps w:val="false"/>
          <w:sz w:val="20"/>
        </w:rPr>
        <w:t>There shall be an annual meeting of the shareholders to elect directors and transact whatever other business may be brought before the meeting. It shall be held at the main office or any other 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resign at any time by delivering written notice to the board of directors, its chairperson, or to the Association, which resignation shall be effective when the notice is delivered unless the notice specifies a later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FIFTH. </w:t>
      </w:r>
      <w:r>
        <w:rPr>
          <w:rFonts w:ascii="Times New Roman;Times;Serif" w:hAnsi="Times New Roman;Times;Serif"/>
          <w:b w:val="false"/>
          <w:i w:val="false"/>
          <w:caps w:val="false"/>
          <w:smallCaps w:val="false"/>
          <w:sz w:val="20"/>
        </w:rPr>
        <w:t>The authorized amount of capital stock of the Association shall be 1,000,000 shares of common stock of the par value of ten dollars ($10) each; but said capital stock may be increased or decreased from time to time, according to the provisions of the laws of the United States. The Association shall have only one class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Articles of Association or required by law, all shares of voting stock shall be voted together as a class, on any matters requiring shareholder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SIXTH. </w:t>
      </w:r>
      <w:r>
        <w:rPr>
          <w:rFonts w:ascii="Times New Roman;Times;Serif" w:hAnsi="Times New Roman;Times;Serif"/>
          <w:b w:val="false"/>
          <w:i w:val="false"/>
          <w:caps w:val="false"/>
          <w:smallCaps w:val="false"/>
          <w:sz w:val="20"/>
        </w:rPr>
        <w:t>The board of directors shall appoint one of its members president of this Association and one of its members chairperson of the board and shall 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have the power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39"/>
        <w:gridCol w:w="9814"/>
      </w:tblGrid>
      <w:tr>
        <w:trPr/>
        <w:tc>
          <w:tcPr>
            <w:tcW w:w="5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20"/>
              </w:rPr>
            </w:pPr>
            <w:r>
              <w:rPr>
                <w:sz w:val="20"/>
              </w:rPr>
              <w:t>(1)</w:t>
            </w:r>
          </w:p>
        </w:tc>
        <w:tc>
          <w:tcPr>
            <w:tcW w:w="9814" w:type="dxa"/>
            <w:tcBorders/>
            <w:vAlign w:val="center"/>
          </w:tcPr>
          <w:p>
            <w:pPr>
              <w:pStyle w:val="TableContents"/>
              <w:bidi w:val="0"/>
              <w:spacing w:before="0" w:after="283"/>
              <w:jc w:val="left"/>
              <w:rPr/>
            </w:pPr>
            <w:r>
              <w:rPr/>
              <w:t>Define the duties of the officers, employees, and agents of the Association.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(2)</w:t>
            </w:r>
          </w:p>
        </w:tc>
        <w:tc>
          <w:tcPr>
            <w:tcW w:w="9938" w:type="dxa"/>
            <w:tcBorders/>
            <w:vAlign w:val="center"/>
          </w:tcPr>
          <w:p>
            <w:pPr>
              <w:pStyle w:val="TableContents"/>
              <w:bidi w:val="0"/>
              <w:spacing w:before="0" w:after="283"/>
              <w:jc w:val="both"/>
              <w:rPr/>
            </w:pPr>
            <w:r>
              <w:rPr/>
              <w:t>Delegate the performance of its duties, but not the responsibility for its duties, to the officers, employees, and agents of the Association.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20"/>
              </w:rPr>
            </w:pPr>
            <w:r>
              <w:rPr>
                <w:sz w:val="20"/>
              </w:rPr>
              <w:t>(3)</w:t>
            </w:r>
          </w:p>
        </w:tc>
        <w:tc>
          <w:tcPr>
            <w:tcW w:w="9945" w:type="dxa"/>
            <w:tcBorders/>
            <w:vAlign w:val="center"/>
          </w:tcPr>
          <w:p>
            <w:pPr>
              <w:pStyle w:val="TableContents"/>
              <w:bidi w:val="0"/>
              <w:spacing w:before="0" w:after="283"/>
              <w:jc w:val="both"/>
              <w:rPr/>
            </w:pPr>
            <w:r>
              <w:rPr/>
              <w:t>Fix the compensation and enter employment contracts with its officers and employees upon reasonable terms and conditions consistent with applicable law.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743"/>
        <w:gridCol w:w="9347"/>
      </w:tblGrid>
      <w:tr>
        <w:trPr/>
        <w:tc>
          <w:tcPr>
            <w:tcW w:w="11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20"/>
              </w:rPr>
            </w:pPr>
            <w:r>
              <w:rPr>
                <w:sz w:val="20"/>
              </w:rPr>
              <w:t>(4)</w:t>
            </w:r>
          </w:p>
        </w:tc>
        <w:tc>
          <w:tcPr>
            <w:tcW w:w="9347" w:type="dxa"/>
            <w:tcBorders/>
            <w:vAlign w:val="center"/>
          </w:tcPr>
          <w:p>
            <w:pPr>
              <w:pStyle w:val="TableContents"/>
              <w:bidi w:val="0"/>
              <w:spacing w:before="0" w:after="283"/>
              <w:jc w:val="left"/>
              <w:rPr/>
            </w:pPr>
            <w:r>
              <w:rPr/>
              <w:t>Dismiss officers and employees.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343"/>
        <w:gridCol w:w="9809"/>
      </w:tblGrid>
      <w:tr>
        <w:trPr/>
        <w:tc>
          <w:tcPr>
            <w:tcW w:w="5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20"/>
              </w:rPr>
            </w:pPr>
            <w:r>
              <w:rPr>
                <w:sz w:val="20"/>
              </w:rPr>
              <w:t>(5)</w:t>
            </w:r>
          </w:p>
        </w:tc>
        <w:tc>
          <w:tcPr>
            <w:tcW w:w="9809" w:type="dxa"/>
            <w:tcBorders/>
            <w:vAlign w:val="center"/>
          </w:tcPr>
          <w:p>
            <w:pPr>
              <w:pStyle w:val="TableContents"/>
              <w:bidi w:val="0"/>
              <w:spacing w:before="0" w:after="283"/>
              <w:jc w:val="left"/>
              <w:rPr/>
            </w:pPr>
            <w:r>
              <w:rPr/>
              <w:t>Require bonds from officers and employees and to fix the penalty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69"/>
        <w:gridCol w:w="9895"/>
      </w:tblGrid>
      <w:tr>
        <w:trPr/>
        <w:tc>
          <w:tcPr>
            <w:tcW w:w="4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20"/>
              </w:rPr>
            </w:pPr>
            <w:r>
              <w:rPr>
                <w:sz w:val="20"/>
              </w:rPr>
              <w:t>(6)</w:t>
            </w:r>
          </w:p>
        </w:tc>
        <w:tc>
          <w:tcPr>
            <w:tcW w:w="9895" w:type="dxa"/>
            <w:tcBorders/>
            <w:vAlign w:val="center"/>
          </w:tcPr>
          <w:p>
            <w:pPr>
              <w:pStyle w:val="TableContents"/>
              <w:bidi w:val="0"/>
              <w:spacing w:before="0" w:after="283"/>
              <w:jc w:val="both"/>
              <w:rPr/>
            </w:pPr>
            <w:r>
              <w:rPr/>
              <w:t>Ratify written policies authorized by the Association's management or committees of the board.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(7)</w:t>
            </w:r>
          </w:p>
        </w:tc>
        <w:tc>
          <w:tcPr>
            <w:tcW w:w="9968" w:type="dxa"/>
            <w:tcBorders/>
            <w:vAlign w:val="center"/>
          </w:tcPr>
          <w:p>
            <w:pPr>
              <w:pStyle w:val="TableContents"/>
              <w:bidi w:val="0"/>
              <w:spacing w:before="0" w:after="283"/>
              <w:jc w:val="both"/>
              <w:rPr/>
            </w:pPr>
            <w:r>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35" w:right="0" w:hanging="0"/>
        <w:jc w:val="center"/>
        <w:rPr>
          <w:sz w:val="20"/>
          <w:bdr w:val="single" w:sz="8" w:space="1" w:color="000000"/>
        </w:rPr>
      </w:pPr>
      <w:r>
        <w:rPr>
          <w:sz w:val="20"/>
          <w:bdr w:val="single" w:sz="8" w:space="1" w:color="000000"/>
        </w:rPr>
        <w:t>- 3 -</w:t>
      </w:r>
    </w:p>
    <w:p>
      <w:pPr>
        <w:pStyle w:val="TextBody"/>
        <w:bidi w:val="0"/>
        <w:spacing w:before="0" w:after="0"/>
        <w:ind w:left="0" w:right="0" w:hanging="0"/>
        <w:jc w:val="left"/>
        <w:rPr/>
      </w:pPr>
      <w:r>
        <w:rPr/>
        <w:t> </w:t>
      </w:r>
    </w:p>
    <w:p>
      <w:pPr>
        <w:pStyle w:val="TextBody"/>
        <w:bidi w:val="0"/>
        <w:spacing w:before="0" w:after="0"/>
        <w:ind w:left="4635"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379"/>
        <w:gridCol w:w="9768"/>
      </w:tblGrid>
      <w:tr>
        <w:trPr/>
        <w:tc>
          <w:tcPr>
            <w:tcW w:w="5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20"/>
              </w:rPr>
            </w:pPr>
            <w:r>
              <w:rPr>
                <w:sz w:val="20"/>
              </w:rPr>
              <w:t>(8)</w:t>
            </w:r>
          </w:p>
        </w:tc>
        <w:tc>
          <w:tcPr>
            <w:tcW w:w="9768" w:type="dxa"/>
            <w:tcBorders/>
            <w:vAlign w:val="center"/>
          </w:tcPr>
          <w:p>
            <w:pPr>
              <w:pStyle w:val="TableContents"/>
              <w:bidi w:val="0"/>
              <w:spacing w:before="0" w:after="283"/>
              <w:jc w:val="left"/>
              <w:rPr/>
            </w:pPr>
            <w:r>
              <w:rPr/>
              <w:t>Manage and administer the business and affairs of the Association.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20"/>
              </w:rPr>
            </w:pPr>
            <w:r>
              <w:rPr>
                <w:sz w:val="20"/>
              </w:rPr>
              <w:t>(9)</w:t>
            </w:r>
          </w:p>
        </w:tc>
        <w:tc>
          <w:tcPr>
            <w:tcW w:w="9943" w:type="dxa"/>
            <w:tcBorders/>
            <w:vAlign w:val="center"/>
          </w:tcPr>
          <w:p>
            <w:pPr>
              <w:pStyle w:val="TableContents"/>
              <w:bidi w:val="0"/>
              <w:spacing w:before="0" w:after="283"/>
              <w:jc w:val="both"/>
              <w:rPr/>
            </w:pPr>
            <w:r>
              <w:rPr/>
              <w:t>Adopt initial Bylaws, not inconsistent with law or the Articles of Association, for managing the business and regulating the affairs of the Association.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4"/>
        <w:gridCol w:w="9834"/>
      </w:tblGrid>
      <w:tr>
        <w:trPr/>
        <w:tc>
          <w:tcPr>
            <w:tcW w:w="3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20"/>
              </w:rPr>
            </w:pPr>
            <w:r>
              <w:rPr>
                <w:sz w:val="20"/>
              </w:rPr>
              <w:t>(10)</w:t>
            </w:r>
          </w:p>
        </w:tc>
        <w:tc>
          <w:tcPr>
            <w:tcW w:w="9834" w:type="dxa"/>
            <w:tcBorders/>
            <w:vAlign w:val="center"/>
          </w:tcPr>
          <w:p>
            <w:pPr>
              <w:pStyle w:val="TableContents"/>
              <w:bidi w:val="0"/>
              <w:spacing w:before="0" w:after="283"/>
              <w:jc w:val="left"/>
              <w:rPr/>
            </w:pPr>
            <w:r>
              <w:rPr/>
              <w:t>Amend or repeal Bylaws, except to the extent that the Articles of Association reserve this power in whole or in part to the shareholders.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1"/>
        <w:gridCol w:w="1857"/>
        <w:gridCol w:w="8147"/>
      </w:tblGrid>
      <w:tr>
        <w:trPr/>
        <w:tc>
          <w:tcPr>
            <w:tcW w:w="201"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20"/>
              </w:rPr>
            </w:pPr>
            <w:r>
              <w:rPr>
                <w:sz w:val="20"/>
              </w:rPr>
              <w:t>(11)</w:t>
            </w:r>
          </w:p>
        </w:tc>
        <w:tc>
          <w:tcPr>
            <w:tcW w:w="8147" w:type="dxa"/>
            <w:tcBorders/>
            <w:vAlign w:val="center"/>
          </w:tcPr>
          <w:p>
            <w:pPr>
              <w:pStyle w:val="TableContents"/>
              <w:bidi w:val="0"/>
              <w:spacing w:before="0" w:after="283"/>
              <w:jc w:val="left"/>
              <w:rPr/>
            </w:pPr>
            <w:r>
              <w:rPr/>
              <w:t>Make contracts.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479"/>
        <w:gridCol w:w="9675"/>
      </w:tblGrid>
      <w:tr>
        <w:trPr/>
        <w:tc>
          <w:tcPr>
            <w:tcW w:w="5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20"/>
              </w:rPr>
            </w:pPr>
            <w:r>
              <w:rPr>
                <w:sz w:val="20"/>
              </w:rPr>
              <w:t>(12)</w:t>
            </w:r>
          </w:p>
        </w:tc>
        <w:tc>
          <w:tcPr>
            <w:tcW w:w="9675" w:type="dxa"/>
            <w:tcBorders/>
            <w:vAlign w:val="center"/>
          </w:tcPr>
          <w:p>
            <w:pPr>
              <w:pStyle w:val="TableContents"/>
              <w:bidi w:val="0"/>
              <w:spacing w:before="0" w:after="283"/>
              <w:jc w:val="left"/>
              <w:rPr/>
            </w:pPr>
            <w:r>
              <w:rPr/>
              <w:t>Generally perform all acts that are legal for a board of directors to perform.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SEVENTH. </w:t>
      </w:r>
      <w:r>
        <w:rPr>
          <w:rFonts w:ascii="Times New Roman;Times;Serif" w:hAnsi="Times New Roman;Times;Serif"/>
          <w:b w:val="false"/>
          <w:i w:val="false"/>
          <w:caps w:val="false"/>
          <w:smallCaps w:val="false"/>
          <w:sz w:val="20"/>
        </w:rPr>
        <w:t>The board of directors shall have the power to change the location of the main office to any authorized branch within the limits of the city of 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EIGHTH. </w:t>
      </w:r>
      <w:r>
        <w:rPr>
          <w:rFonts w:ascii="Times New Roman;Times;Serif" w:hAnsi="Times New Roman;Times;Serif"/>
          <w:b w:val="false"/>
          <w:i w:val="false"/>
          <w:caps w:val="false"/>
          <w:smallCaps w:val="false"/>
          <w:sz w:val="20"/>
        </w:rPr>
        <w:t>The corporate existence of this Association shall continue until termination according to the laws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NINTH. </w:t>
      </w:r>
      <w:r>
        <w:rPr>
          <w:rFonts w:ascii="Times New Roman;Times;Serif" w:hAnsi="Times New Roman;Times;Serif"/>
          <w:b w:val="false"/>
          <w:i w:val="false"/>
          <w:caps w:val="false"/>
          <w:smallCaps w:val="false"/>
          <w:sz w:val="20"/>
        </w:rPr>
        <w:t>The board of directors of the Association, or any shareholder owning, in the aggregate, not less than 25 percent of the stock of the Association, 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TENTH. </w:t>
      </w:r>
      <w:r>
        <w:rPr>
          <w:rFonts w:ascii="Times New Roman;Times;Serif" w:hAnsi="Times New Roman;Times;Serif"/>
          <w:b w:val="false"/>
          <w:i w:val="false"/>
          <w:caps w:val="false"/>
          <w:smallCaps w:val="false"/>
          <w:sz w:val="20"/>
        </w:rPr>
        <w:t>These Articles of Association may be amended at any regular or special meeting of the shareholders by the affirmative vote of the holders of a 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53" w:right="0" w:hanging="0"/>
        <w:jc w:val="center"/>
        <w:rPr>
          <w:sz w:val="20"/>
          <w:bdr w:val="single" w:sz="8" w:space="1" w:color="000000"/>
        </w:rPr>
      </w:pPr>
      <w:r>
        <w:rPr>
          <w:sz w:val="20"/>
          <w:bdr w:val="single" w:sz="8" w:space="1" w:color="000000"/>
        </w:rPr>
        <w:t>- 4 -</w:t>
      </w:r>
    </w:p>
    <w:p>
      <w:pPr>
        <w:pStyle w:val="TextBody"/>
        <w:bidi w:val="0"/>
        <w:spacing w:before="0" w:after="0"/>
        <w:ind w:left="0" w:right="0" w:hanging="0"/>
        <w:jc w:val="left"/>
        <w:rPr/>
      </w:pPr>
      <w:r>
        <w:rPr/>
        <w:t> </w:t>
      </w:r>
    </w:p>
    <w:p>
      <w:pPr>
        <w:pStyle w:val="TextBody"/>
        <w:bidi w:val="0"/>
        <w:spacing w:before="0" w:after="0"/>
        <w:ind w:left="4653"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we have hereunto set our hands this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June, 1997.</w:t>
      </w:r>
    </w:p>
    <w:p>
      <w:pPr>
        <w:pStyle w:val="TextBody"/>
        <w:bidi w:val="0"/>
        <w:spacing w:before="0" w:after="0"/>
        <w:ind w:left="0" w:right="0" w:hanging="0"/>
        <w:jc w:val="left"/>
        <w:rPr>
          <w:caps w:val="false"/>
          <w:smallCaps w:val="false"/>
        </w:rPr>
      </w:pPr>
      <w:r>
        <w:rPr>
          <w:caps w:val="false"/>
          <w:smallCaps w:val="false"/>
        </w:rPr>
        <w:t> </w:t>
      </w:r>
    </w:p>
    <w:tbl>
      <w:tblPr>
        <w:tblW w:w="1925" w:type="dxa"/>
        <w:jc w:val="left"/>
        <w:tblInd w:w="0" w:type="dxa"/>
        <w:shd w:fill="FFFFFF" w:val="clear"/>
        <w:tblLayout w:type="fixed"/>
        <w:tblCellMar>
          <w:top w:w="0" w:type="dxa"/>
          <w:left w:w="0" w:type="dxa"/>
          <w:bottom w:w="28" w:type="dxa"/>
          <w:right w:w="0" w:type="dxa"/>
        </w:tblCellMar>
      </w:tblPr>
      <w:tblGrid>
        <w:gridCol w:w="1850"/>
        <w:gridCol w:w="75"/>
      </w:tblGrid>
      <w:tr>
        <w:trPr/>
        <w:tc>
          <w:tcPr>
            <w:tcW w:w="185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Jeffrey T. Grubb</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Jeffrey T. Grubb</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Robert D. Sznewajs</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Robert D. Sznewajs</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Dwight V. Board</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Dwight V. Board</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P. K. Chatterjee</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 K. Chatterjee</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Robert Lane</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Robert Lane</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72175" cy="8048625"/>
            <wp:effectExtent l="0" t="0" r="0" b="0"/>
            <wp:docPr id="1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0" descr=""/>
                    <pic:cNvPicPr>
                      <a:picLocks noChangeAspect="1" noChangeArrowheads="1"/>
                    </pic:cNvPicPr>
                  </pic:nvPicPr>
                  <pic:blipFill>
                    <a:blip r:embed="rId21"/>
                    <a:stretch>
                      <a:fillRect/>
                    </a:stretch>
                  </pic:blipFill>
                  <pic:spPr bwMode="auto">
                    <a:xfrm>
                      <a:off x="0" y="0"/>
                      <a:ext cx="5972175" cy="80486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AMENDED AND RESTATED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Meetings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Annual Meeting</w:t>
      </w:r>
      <w:r>
        <w:rPr>
          <w:rFonts w:ascii="Times New Roman;Times;Serif" w:hAnsi="Times New Roman;Times;Serif"/>
          <w:b w:val="false"/>
          <w:i w:val="false"/>
          <w:caps w:val="false"/>
          <w:smallCaps w:val="false"/>
          <w:sz w:val="20"/>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such special meeting, unless otherwise provided by law, shall be called upon not less than ten (10) days nor more than sixty (60) days prior notice stating the purpose of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Nominations for Directors</w:t>
      </w:r>
      <w:r>
        <w:rPr>
          <w:rFonts w:ascii="Times New Roman;Times;Serif" w:hAnsi="Times New Roman;Times;Serif"/>
          <w:b w:val="false"/>
          <w:i w:val="false"/>
          <w:caps w:val="false"/>
          <w:smallCaps w:val="false"/>
          <w:sz w:val="20"/>
        </w:rPr>
        <w:t>. Nominations for election to the Board may be made by the Board or by any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Proxies</w:t>
      </w:r>
      <w:r>
        <w:rPr>
          <w:rFonts w:ascii="Times New Roman;Times;Serif" w:hAnsi="Times New Roman;Times;Serif"/>
          <w:b w:val="false"/>
          <w:i w:val="false"/>
          <w:caps w:val="false"/>
          <w:smallCaps w:val="false"/>
          <w:sz w:val="20"/>
        </w:rPr>
        <w:t>. Shareholders may vote at any meeting of the shareholders by proxies duly authorized in writing. Proxies shall be valid only for one meeting and any adjournments of such meeting and shall be filed with the records of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The record date for determining shareholders entitled to notice and to vote at any meeting will be thirty days before the date of such meeting, unless otherwise determined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Quorum and Voting</w:t>
      </w:r>
      <w:r>
        <w:rPr>
          <w:rFonts w:ascii="Times New Roman;Times;Serif" w:hAnsi="Times New Roman;Times;Serif"/>
          <w:b w:val="false"/>
          <w:i w:val="false"/>
          <w:caps w:val="false"/>
          <w:smallCaps w:val="false"/>
          <w:sz w:val="20"/>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val="false"/>
          <w:smallCaps w:val="false"/>
          <w:sz w:val="20"/>
          <w:u w:val="single"/>
        </w:rPr>
        <w:t>Inspectors</w:t>
      </w:r>
      <w:r>
        <w:rPr>
          <w:rFonts w:ascii="Times New Roman;Times;Serif" w:hAnsi="Times New Roman;Times;Serif"/>
          <w:b w:val="false"/>
          <w:i w:val="false"/>
          <w:caps w:val="false"/>
          <w:smallCaps w:val="false"/>
          <w:sz w:val="20"/>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val="false"/>
          <w:smallCaps w:val="false"/>
          <w:sz w:val="20"/>
          <w:u w:val="single"/>
        </w:rPr>
        <w:t>Waiver and Consent</w:t>
      </w:r>
      <w:r>
        <w:rPr>
          <w:rFonts w:ascii="Times New Roman;Times;Serif" w:hAnsi="Times New Roman;Times;Serif"/>
          <w:b w:val="false"/>
          <w:i w:val="false"/>
          <w:caps w:val="false"/>
          <w:smallCaps w:val="false"/>
          <w:sz w:val="20"/>
        </w:rPr>
        <w:t>. The shareholders may act without notice or a meeting by a unanimous written consent by all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1.9. </w:t>
      </w:r>
      <w:r>
        <w:rPr>
          <w:rFonts w:ascii="Times New Roman;Times;Serif" w:hAnsi="Times New Roman;Times;Serif"/>
          <w:b w:val="false"/>
          <w:i w:val="false"/>
          <w:caps w:val="false"/>
          <w:smallCaps w:val="false"/>
          <w:sz w:val="20"/>
          <w:u w:val="single"/>
        </w:rPr>
        <w:t>Remote Meetings</w:t>
      </w:r>
      <w:r>
        <w:rPr>
          <w:rFonts w:ascii="Times New Roman;Times;Serif" w:hAnsi="Times New Roman;Times;Serif"/>
          <w:b w:val="false"/>
          <w:i w:val="false"/>
          <w:caps w:val="false"/>
          <w:smallCaps w:val="false"/>
          <w:sz w:val="20"/>
        </w:rPr>
        <w:t>. The Board shall have the right to determine that a shareholder meeting not be held at a place, but instead be held solely by means of remote communication in the manner and to the extent permitted by the 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II</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The Board shall have the power to manage and administer the business and affairs of the Association. Except as expressly limited by law, all corporate powers of the Association shall be vested in and may be exercised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Term of Office</w:t>
      </w:r>
      <w:r>
        <w:rPr>
          <w:rFonts w:ascii="Times New Roman;Times;Serif" w:hAnsi="Times New Roman;Times;Serif"/>
          <w:b w:val="false"/>
          <w:i w:val="false"/>
          <w:caps w:val="false"/>
          <w:smallCaps w:val="false"/>
          <w:sz w:val="20"/>
        </w:rPr>
        <w:t>. The directors of this Association shall hold office for one year and until their successors are duly elected and qualified, or until their earlier resignation or removal.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Powers</w:t>
      </w:r>
      <w:r>
        <w:rPr>
          <w:rFonts w:ascii="Times New Roman;Times;Serif" w:hAnsi="Times New Roman;Times;Serif"/>
          <w:b w:val="false"/>
          <w:i w:val="false"/>
          <w:caps w:val="false"/>
          <w:smallCaps w:val="false"/>
          <w:sz w:val="20"/>
        </w:rPr>
        <w:t>. In addition to the foregoing, the Board shall have and may exercise all of the powers granted to or conferred upon it by the Articles of Association, the Bylaws and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Number</w:t>
      </w:r>
      <w:r>
        <w:rPr>
          <w:rFonts w:ascii="Times New Roman;Times;Serif" w:hAnsi="Times New Roman;Times;Serif"/>
          <w:b w:val="false"/>
          <w:i w:val="false"/>
          <w:caps w:val="false"/>
          <w:smallCaps w:val="false"/>
          <w:sz w:val="20"/>
        </w:rPr>
        <w:t>. As provided in the Articles of Association, the Board of this Association shall consist of no less than five nor more than twenty-five members, unless the OCC has exempted the Association from the twenty-five-member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 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Organization Meeting</w:t>
      </w:r>
      <w:r>
        <w:rPr>
          <w:rFonts w:ascii="Times New Roman;Times;Serif" w:hAnsi="Times New Roman;Times;Serif"/>
          <w:b w:val="false"/>
          <w:i w:val="false"/>
          <w:caps w:val="false"/>
          <w:smallCaps w:val="false"/>
          <w:sz w:val="20"/>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Regular Meetings</w:t>
      </w:r>
      <w:r>
        <w:rPr>
          <w:rFonts w:ascii="Times New Roman;Times;Serif" w:hAnsi="Times New Roman;Times;Serif"/>
          <w:b w:val="false"/>
          <w:i w:val="false"/>
          <w:caps w:val="false"/>
          <w:smallCaps w:val="false"/>
          <w:sz w:val="20"/>
        </w:rPr>
        <w:t>. The regular meetings of the Board shall be held, without notice, as the Chairman or President may designate and deem suitable.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2.8. </w:t>
      </w:r>
      <w:r>
        <w:rPr>
          <w:rFonts w:ascii="Times New Roman;Times;Serif" w:hAnsi="Times New Roman;Times;Serif"/>
          <w:b w:val="false"/>
          <w:i w:val="false"/>
          <w:caps w:val="false"/>
          <w:smallCaps w:val="false"/>
          <w:sz w:val="20"/>
          <w:u w:val="single"/>
        </w:rPr>
        <w:t>Quorum and Necessary Vote</w:t>
      </w:r>
      <w:r>
        <w:rPr>
          <w:rFonts w:ascii="Times New Roman;Times;Serif" w:hAnsi="Times New Roman;Times;Serif"/>
          <w:b w:val="false"/>
          <w:i w:val="false"/>
          <w:caps w:val="false"/>
          <w:smallCaps w:val="false"/>
          <w:sz w:val="20"/>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2.9. </w:t>
      </w:r>
      <w:r>
        <w:rPr>
          <w:rFonts w:ascii="Times New Roman;Times;Serif" w:hAnsi="Times New Roman;Times;Serif"/>
          <w:b w:val="false"/>
          <w:i w:val="false"/>
          <w:caps w:val="false"/>
          <w:smallCaps w:val="false"/>
          <w:sz w:val="20"/>
          <w:u w:val="single"/>
        </w:rPr>
        <w:t>Written Consent</w:t>
      </w:r>
      <w:r>
        <w:rPr>
          <w:rFonts w:ascii="Times New Roman;Times;Serif" w:hAnsi="Times New Roman;Times;Serif"/>
          <w:b w:val="false"/>
          <w:i w:val="false"/>
          <w:caps w:val="false"/>
          <w:smallCaps w:val="false"/>
          <w:sz w:val="20"/>
        </w:rPr>
        <w:t>. Except as otherwise required by applicable laws and regulations, the Board may act without a meeting by a unanimous written consent by all directors, to be filed with the Secretary of the Association as part of the corporate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Remote Meetings</w:t>
      </w:r>
      <w:r>
        <w:rPr>
          <w:rFonts w:ascii="Times New Roman;Times;Serif" w:hAnsi="Times New Roman;Times;Serif"/>
          <w:b w:val="false"/>
          <w:i w:val="false"/>
          <w:caps w:val="false"/>
          <w:smallCaps w:val="false"/>
          <w:sz w:val="20"/>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Vacancies</w:t>
      </w:r>
      <w:r>
        <w:rPr>
          <w:rFonts w:ascii="Times New Roman;Times;Serif" w:hAnsi="Times New Roman;Times;Serif"/>
          <w:b w:val="false"/>
          <w:i w:val="false"/>
          <w:caps w:val="false"/>
          <w:smallCaps w:val="false"/>
          <w:sz w:val="20"/>
        </w:rPr>
        <w:t>. When any vacancy occurs among the directors, the remaining members of the Board may appoint a director to fill such vacancy at any regular meeting of the Board, or at a special meeting called for that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III</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Advisory Board of Directors</w:t>
      </w:r>
      <w:r>
        <w:rPr>
          <w:rFonts w:ascii="Times New Roman;Times;Serif" w:hAnsi="Times New Roman;Times;Serif"/>
          <w:b w:val="false"/>
          <w:i w:val="false"/>
          <w:caps w:val="false"/>
          <w:smallCaps w:val="false"/>
          <w:sz w:val="20"/>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Trust Audit Committee</w:t>
      </w:r>
      <w:r>
        <w:rPr>
          <w:rFonts w:ascii="Times New Roman;Times;Serif" w:hAnsi="Times New Roman;Times;Serif"/>
          <w:b w:val="false"/>
          <w:i w:val="false"/>
          <w:caps w:val="false"/>
          <w:smallCaps w:val="false"/>
          <w:sz w:val="20"/>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financial holding company that is the ultimate parent of this Association, fulfilling the function of the trust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Must not include any officers of the Association or an affiliate who participate significantly in the administration of the Association’s fiduciary activities;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Must consist of a majority of members who are not also members of any committee to which the Board has delegated power to manage and control the fiduciary activities of the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Executive Committee</w:t>
      </w:r>
      <w:r>
        <w:rPr>
          <w:rFonts w:ascii="Times New Roman;Times;Serif" w:hAnsi="Times New Roman;Times;Serif"/>
          <w:b w:val="false"/>
          <w:i w:val="false"/>
          <w:caps w:val="false"/>
          <w:smallCaps w:val="false"/>
          <w:sz w:val="20"/>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Trust Management Committee</w:t>
      </w:r>
      <w:r>
        <w:rPr>
          <w:rFonts w:ascii="Times New Roman;Times;Serif" w:hAnsi="Times New Roman;Times;Serif"/>
          <w:b w:val="false"/>
          <w:i w:val="false"/>
          <w:caps w:val="false"/>
          <w:smallCaps w:val="false"/>
          <w:sz w:val="20"/>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Other Committees</w:t>
      </w:r>
      <w:r>
        <w:rPr>
          <w:rFonts w:ascii="Times New Roman;Times;Serif" w:hAnsi="Times New Roman;Times;Serif"/>
          <w:b w:val="false"/>
          <w:i w:val="false"/>
          <w:caps w:val="false"/>
          <w:smallCaps w:val="false"/>
          <w:sz w:val="20"/>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Meetings, Minutes and Rules</w:t>
      </w:r>
      <w:r>
        <w:rPr>
          <w:rFonts w:ascii="Times New Roman;Times;Serif" w:hAnsi="Times New Roman;Times;Serif"/>
          <w:b w:val="false"/>
          <w:i w:val="false"/>
          <w:caps w:val="false"/>
          <w:smallCaps w:val="false"/>
          <w:sz w:val="20"/>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IV</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Who Shall Constitute</w:t>
      </w:r>
      <w:r>
        <w:rPr>
          <w:rFonts w:ascii="Times New Roman;Times;Serif" w:hAnsi="Times New Roman;Times;Serif"/>
          <w:b w:val="false"/>
          <w:i w:val="false"/>
          <w:caps w:val="false"/>
          <w:smallCaps w:val="false"/>
          <w:sz w:val="20"/>
        </w:rPr>
        <w:t>. The Officers of the Association shall be a Chief Executive Officer, a President, a Secretary, and other officers such as Vice Chair, Executive Vice Presidents, Senior Vice Presidents, Vice Presidents, Assistant Vice Presidents, Assistant Secretaries, Trust Officers, Assistant Trust Officers, Controller, and Assistant Controller, as the Board may appoint from time to time. The Board may appoint or elect a person as a Vice Chair without regard to whether such person is a member of the Board. The Board may choose to delegate authority to elect officers other than the Chief Executive Officer, President, Secretary, Vice Chairs and Senior Executive Vice Presidents, to the President. Any person may hold two offices. The President shall at all times be a member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Term of Office</w:t>
      </w:r>
      <w:r>
        <w:rPr>
          <w:rFonts w:ascii="Times New Roman;Times;Serif" w:hAnsi="Times New Roman;Times;Serif"/>
          <w:b w:val="false"/>
          <w:i w:val="false"/>
          <w:caps w:val="false"/>
          <w:smallCaps w:val="false"/>
          <w:sz w:val="20"/>
        </w:rPr>
        <w:t>. All officers shall be elected for and shall hold office until their respective successors are elected and qualified or until their earlier death, resignation, retirement, disqualification or removal from office, subject to the right of the Board of Directors in its sole discretion to discharge any officer at any time. The Board may choose to delegate authority to remove officers other than the Chairman, Chief Executive Officer, President, Secretary, Vice Chair and Senior Executive Vice Presidents, to the President.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Chairman of the Board</w:t>
      </w:r>
      <w:r>
        <w:rPr>
          <w:rFonts w:ascii="Times New Roman;Times;Serif" w:hAnsi="Times New Roman;Times;Serif"/>
          <w:b w:val="false"/>
          <w:i w:val="false"/>
          <w:caps w:val="false"/>
          <w:smallCaps w:val="false"/>
          <w:sz w:val="20"/>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President</w:t>
      </w:r>
      <w:r>
        <w:rPr>
          <w:rFonts w:ascii="Times New Roman;Times;Serif" w:hAnsi="Times New Roman;Times;Serif"/>
          <w:b w:val="false"/>
          <w:i w:val="false"/>
          <w:caps w:val="false"/>
          <w:smallCaps w:val="false"/>
          <w:sz w:val="20"/>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Vice President</w:t>
      </w:r>
      <w:r>
        <w:rPr>
          <w:rFonts w:ascii="Times New Roman;Times;Serif" w:hAnsi="Times New Roman;Times;Serif"/>
          <w:b w:val="false"/>
          <w:i w:val="false"/>
          <w:caps w:val="false"/>
          <w:smallCaps w:val="false"/>
          <w:sz w:val="20"/>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Secretary</w:t>
      </w:r>
      <w:r>
        <w:rPr>
          <w:rFonts w:ascii="Times New Roman;Times;Serif" w:hAnsi="Times New Roman;Times;Serif"/>
          <w:b w:val="false"/>
          <w:i w:val="false"/>
          <w:caps w:val="false"/>
          <w:smallCaps w:val="false"/>
          <w:sz w:val="20"/>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4.7. </w:t>
      </w:r>
      <w:r>
        <w:rPr>
          <w:rFonts w:ascii="Times New Roman;Times;Serif" w:hAnsi="Times New Roman;Times;Serif"/>
          <w:b w:val="false"/>
          <w:i w:val="false"/>
          <w:caps w:val="false"/>
          <w:smallCaps w:val="false"/>
          <w:sz w:val="20"/>
          <w:u w:val="single"/>
        </w:rPr>
        <w:t>Other Officers</w:t>
      </w:r>
      <w:r>
        <w:rPr>
          <w:rFonts w:ascii="Times New Roman;Times;Serif" w:hAnsi="Times New Roman;Times;Serif"/>
          <w:b w:val="false"/>
          <w:i w:val="false"/>
          <w:caps w:val="false"/>
          <w:smallCaps w:val="false"/>
          <w:sz w:val="20"/>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V</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VI</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Corporate Seal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VII</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Execution of Instruments</w:t>
      </w:r>
      <w:r>
        <w:rPr>
          <w:rFonts w:ascii="Times New Roman;Times;Serif" w:hAnsi="Times New Roman;Times;Serif"/>
          <w:b w:val="false"/>
          <w:i w:val="false"/>
          <w:caps w:val="false"/>
          <w:smallCaps w:val="false"/>
          <w:sz w:val="20"/>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Records</w:t>
      </w:r>
      <w:r>
        <w:rPr>
          <w:rFonts w:ascii="Times New Roman;Times;Serif" w:hAnsi="Times New Roman;Times;Serif"/>
          <w:b w:val="false"/>
          <w:i w:val="false"/>
          <w:caps w:val="false"/>
          <w:smallCaps w:val="false"/>
          <w:sz w:val="20"/>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Trust Files</w:t>
      </w:r>
      <w:r>
        <w:rPr>
          <w:rFonts w:ascii="Times New Roman;Times;Serif" w:hAnsi="Times New Roman;Times;Serif"/>
          <w:b w:val="false"/>
          <w:i w:val="false"/>
          <w:caps w:val="false"/>
          <w:smallCaps w:val="false"/>
          <w:sz w:val="20"/>
        </w:rPr>
        <w:t>. There shall be maintained in the Association files all fiduciary records necessary to assure that its fiduciary responsibilities have been properly undertaken and discharged.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Trust Investments</w:t>
      </w:r>
      <w:r>
        <w:rPr>
          <w:rFonts w:ascii="Times New Roman;Times;Serif" w:hAnsi="Times New Roman;Times;Serif"/>
          <w:b w:val="false"/>
          <w:i w:val="false"/>
          <w:caps w:val="false"/>
          <w:smallCaps w:val="false"/>
          <w:sz w:val="20"/>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Whenever notice is required by the Articles of Association, the Bylaws or law, such notice shall be by mail, postage prepaid, e-mail, in person, or by any other means by which such notice can reasonably be expected to be received, using the address of the person to receive such notice, or such other personal data, as may appear on the records of the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specified otherwise in these Bylaws, prior notice shall be proper if given not more than 30 days nor less than 10 days prior to the event for which notice is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VIII</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IX</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Bylaws: Interpretation and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 These Bylaws shall be interpreted in accordance with and subject to appropriate provisions of law, and may be added to, altered, amended, or repealed, at any regular or special meeting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 A copy of the Bylaws and all amendments shall at all times be kept in a convenient place at the principal office of the Association, and shall be open for inspection to all shareholders during Association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X</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The fiscal year of the Association shall begin on the first day of January in each year and shall end on the thirty-first day of December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6,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16, 2026</w:t>
      </w:r>
    </w:p>
    <w:p>
      <w:pPr>
        <w:pStyle w:val="TextBody"/>
        <w:bidi w:val="0"/>
        <w:spacing w:before="0" w:after="0"/>
        <w:ind w:left="0" w:right="0" w:hanging="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75"/>
        <w:gridCol w:w="320"/>
        <w:gridCol w:w="16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Felicia H. Powell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Felicia H. Powell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Financial Condition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6/30/2026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($000’s)</w:t>
      </w:r>
    </w:p>
    <w:p>
      <w:pPr>
        <w:pStyle w:val="TextBody"/>
        <w:bidi w:val="0"/>
        <w:spacing w:before="0" w:after="0"/>
        <w:ind w:left="0" w:right="0" w:hanging="0"/>
        <w:jc w:val="left"/>
        <w:rPr>
          <w:caps w:val="false"/>
          <w:smallCaps w:val="false"/>
        </w:rPr>
      </w:pPr>
      <w:r>
        <w:rPr>
          <w:caps w:val="false"/>
          <w:smallCaps w:val="false"/>
        </w:rPr>
        <w:t> </w:t>
      </w:r>
    </w:p>
    <w:tbl>
      <w:tblPr>
        <w:tblW w:w="5430" w:type="dxa"/>
        <w:jc w:val="left"/>
        <w:tblInd w:w="0" w:type="dxa"/>
        <w:tblLayout w:type="fixed"/>
        <w:tblCellMar>
          <w:top w:w="0" w:type="dxa"/>
          <w:left w:w="0" w:type="dxa"/>
          <w:bottom w:w="0" w:type="dxa"/>
          <w:right w:w="0" w:type="dxa"/>
        </w:tblCellMar>
      </w:tblPr>
      <w:tblGrid>
        <w:gridCol w:w="4325"/>
        <w:gridCol w:w="60"/>
        <w:gridCol w:w="125"/>
        <w:gridCol w:w="845"/>
        <w:gridCol w:w="75"/>
      </w:tblGrid>
      <w:tr>
        <w:trPr/>
        <w:tc>
          <w:tcPr>
            <w:tcW w:w="43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6/30/2026</w:t>
            </w:r>
          </w:p>
        </w:tc>
        <w:tc>
          <w:tcPr>
            <w:tcW w:w="75"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Balances Due From Depository Institutions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2,474,094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Funds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&amp; Lease Financing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573,109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154,375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3,206,698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 Funds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Demand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Borrowed Money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Subordinated Notes and Debentures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268,325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268,325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and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Surplus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1,171,635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Undivided Profits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1,766,538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Minority Interest in Subsidiaries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2,938,373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3,206,698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8" w:name="tm2627553d2_ex25-2.htm"/>
      <w:bookmarkStart w:id="29" w:name="kstm2627553d2_ex252"/>
      <w:bookmarkEnd w:id="28"/>
      <w:bookmarkEnd w:id="2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8"/>
        </w:rPr>
      </w:pPr>
      <w:r>
        <w:rPr>
          <w:rFonts w:ascii="Times New Roman;Times;Serif" w:hAnsi="Times New Roman;Times;Serif"/>
          <w:b/>
          <w:i w:val="false"/>
          <w:smallCaps/>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Statement of Eligibility Under</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Trust Indenture Act of 1939 of a</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Corporation Designated to Act as Trustee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an Application to Determine Eligibility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Trustee Pursuant to Section 305(b)(2)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U.S. BANK TRUST COMPANY, NATIONAL ASSOCIATION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Trustee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91-1821036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10" w:type="dxa"/>
        <w:tblLayout w:type="fixed"/>
        <w:tblCellMar>
          <w:top w:w="28" w:type="dxa"/>
          <w:left w:w="108" w:type="dxa"/>
          <w:bottom w:w="28" w:type="dxa"/>
          <w:right w:w="108" w:type="dxa"/>
        </w:tblCellMar>
      </w:tblPr>
      <w:tblGrid>
        <w:gridCol w:w="3215"/>
        <w:gridCol w:w="920"/>
      </w:tblGrid>
      <w:tr>
        <w:trPr/>
        <w:tc>
          <w:tcPr>
            <w:tcW w:w="3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South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Minnesota</w:t>
            </w:r>
          </w:p>
        </w:tc>
        <w:tc>
          <w:tcPr>
            <w:tcW w:w="9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55402</w:t>
            </w:r>
          </w:p>
        </w:tc>
      </w:tr>
      <w:tr>
        <w:trPr/>
        <w:tc>
          <w:tcPr>
            <w:tcW w:w="32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Felicia H. Powell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Concourse Parkway, Suite 800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GA 30328-5588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 898-8828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ACUITY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w:t>
      </w:r>
      <w:r>
        <w:rPr>
          <w:rFonts w:ascii="Times New Roman;Times;Serif" w:hAnsi="Times New Roman;Times;Serif"/>
          <w:b/>
          <w:i w:val="false"/>
          <w:caps w:val="false"/>
          <w:smallCaps w:val="false"/>
          <w:sz w:val="20"/>
        </w:rPr>
        <w:t>*and each of the additional registrants listed on the next page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with respect to the Securities)</w:t>
      </w:r>
    </w:p>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10" w:type="dxa"/>
        <w:tblLayout w:type="fixed"/>
        <w:tblCellMar>
          <w:top w:w="28" w:type="dxa"/>
          <w:left w:w="108" w:type="dxa"/>
          <w:bottom w:w="28" w:type="dxa"/>
          <w:right w:w="108" w:type="dxa"/>
        </w:tblCellMar>
      </w:tblPr>
      <w:tblGrid>
        <w:gridCol w:w="4880"/>
        <w:gridCol w:w="2915"/>
      </w:tblGrid>
      <w:tr>
        <w:trPr/>
        <w:tc>
          <w:tcPr>
            <w:tcW w:w="48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29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58-2632672</w:t>
            </w:r>
          </w:p>
        </w:tc>
      </w:tr>
      <w:tr>
        <w:trPr/>
        <w:tc>
          <w:tcPr>
            <w:tcW w:w="48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29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10" w:type="dxa"/>
        <w:jc w:val="left"/>
        <w:tblInd w:w="-10" w:type="dxa"/>
        <w:tblLayout w:type="fixed"/>
        <w:tblCellMar>
          <w:top w:w="28" w:type="dxa"/>
          <w:left w:w="108" w:type="dxa"/>
          <w:bottom w:w="28" w:type="dxa"/>
          <w:right w:w="108" w:type="dxa"/>
        </w:tblCellMar>
      </w:tblPr>
      <w:tblGrid>
        <w:gridCol w:w="3290"/>
        <w:gridCol w:w="920"/>
      </w:tblGrid>
      <w:tr>
        <w:trPr/>
        <w:tc>
          <w:tcPr>
            <w:tcW w:w="32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1170 Peachtreee Street, N.E., Suite 1200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GA</w:t>
            </w:r>
          </w:p>
        </w:tc>
        <w:tc>
          <w:tcPr>
            <w:tcW w:w="9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30309</w:t>
            </w:r>
          </w:p>
        </w:tc>
      </w:tr>
      <w:tr>
        <w:trPr/>
        <w:tc>
          <w:tcPr>
            <w:tcW w:w="32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Debt Securities</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and Guarantees of Debt Securities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the Indenture Securities)</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CO-REGISTRANTS</w:t>
      </w:r>
    </w:p>
    <w:p>
      <w:pPr>
        <w:pStyle w:val="TextBody"/>
        <w:bidi w:val="0"/>
        <w:spacing w:before="0" w:after="0"/>
        <w:ind w:left="0" w:right="0" w:hanging="0"/>
        <w:jc w:val="left"/>
        <w:rPr>
          <w:caps w:val="false"/>
          <w:smallCaps w:val="false"/>
        </w:rPr>
      </w:pPr>
      <w:r>
        <w:rPr>
          <w:caps w:val="false"/>
          <w:smallCaps w:val="false"/>
        </w:rPr>
        <w:t> </w:t>
      </w:r>
    </w:p>
    <w:tbl>
      <w:tblPr>
        <w:tblW w:w="6270" w:type="dxa"/>
        <w:jc w:val="left"/>
        <w:tblInd w:w="0" w:type="dxa"/>
        <w:tblLayout w:type="fixed"/>
        <w:tblCellMar>
          <w:top w:w="0" w:type="dxa"/>
          <w:left w:w="0" w:type="dxa"/>
          <w:bottom w:w="0" w:type="dxa"/>
          <w:right w:w="0" w:type="dxa"/>
        </w:tblCellMar>
      </w:tblPr>
      <w:tblGrid>
        <w:gridCol w:w="2435"/>
        <w:gridCol w:w="60"/>
        <w:gridCol w:w="2210"/>
        <w:gridCol w:w="60"/>
        <w:gridCol w:w="1505"/>
      </w:tblGrid>
      <w:tr>
        <w:trPr/>
        <w:tc>
          <w:tcPr>
            <w:tcW w:w="24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Exact name of Registrant*</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Jurisdiction of Formation</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r>
        <w:trPr/>
        <w:tc>
          <w:tcPr>
            <w:tcW w:w="24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Acuity Brands Lighting, Inc.</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58-2633371</w:t>
            </w:r>
          </w:p>
        </w:tc>
      </w:tr>
      <w:tr>
        <w:trPr/>
        <w:tc>
          <w:tcPr>
            <w:tcW w:w="24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Acuity Intelligent Spaces Inc.</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31-1832408</w:t>
            </w:r>
          </w:p>
        </w:tc>
      </w:tr>
      <w:tr>
        <w:trPr/>
        <w:tc>
          <w:tcPr>
            <w:tcW w:w="24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QSC, LLC</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California</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95-3412527</w:t>
            </w:r>
          </w:p>
        </w:tc>
      </w:tr>
      <w:tr>
        <w:trPr/>
        <w:tc>
          <w:tcPr>
            <w:tcW w:w="24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ABL IP Holding LLC</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Georgia</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93-4672136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The address for each of the additional registrants is c/o Acuity Inc., 1170 Peachtree Street, N.E. Suite 1200, Atlanta, Georgia 30309.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T-1</w:t>
      </w:r>
    </w:p>
    <w:p>
      <w:pPr>
        <w:pStyle w:val="TextBody"/>
        <w:bidi w:val="0"/>
        <w:spacing w:before="0" w:after="0"/>
        <w:ind w:left="0" w:right="0" w:hanging="0"/>
        <w:jc w:val="left"/>
        <w:rPr>
          <w:caps w:val="false"/>
          <w:smallCaps w:val="false"/>
        </w:rPr>
      </w:pPr>
      <w:r>
        <w:rPr>
          <w:caps w:val="false"/>
          <w:smallCaps w:val="false"/>
        </w:rPr>
        <w:t> </w:t>
      </w:r>
    </w:p>
    <w:tbl>
      <w:tblPr>
        <w:tblW w:w="8073" w:type="dxa"/>
        <w:jc w:val="left"/>
        <w:tblInd w:w="0" w:type="dxa"/>
        <w:tblLayout w:type="fixed"/>
        <w:tblCellMar>
          <w:top w:w="0" w:type="dxa"/>
          <w:left w:w="0" w:type="dxa"/>
          <w:bottom w:w="0" w:type="dxa"/>
          <w:right w:w="0" w:type="dxa"/>
        </w:tblCellMar>
      </w:tblPr>
      <w:tblGrid>
        <w:gridCol w:w="38"/>
        <w:gridCol w:w="605"/>
        <w:gridCol w:w="7430"/>
      </w:tblGrid>
      <w:tr>
        <w:trPr/>
        <w:tc>
          <w:tcPr>
            <w:tcW w:w="3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b/>
                <w:sz w:val="20"/>
              </w:rPr>
            </w:pPr>
            <w:r>
              <w:rPr>
                <w:b/>
                <w:sz w:val="20"/>
              </w:rPr>
              <w:t>Item 1.</w:t>
            </w:r>
          </w:p>
        </w:tc>
        <w:tc>
          <w:tcPr>
            <w:tcW w:w="7430" w:type="dxa"/>
            <w:tcBorders/>
            <w:vAlign w:val="center"/>
          </w:tcPr>
          <w:p>
            <w:pPr>
              <w:pStyle w:val="TableContents"/>
              <w:bidi w:val="0"/>
              <w:spacing w:before="0" w:after="283"/>
              <w:jc w:val="both"/>
              <w:rPr/>
            </w:pPr>
            <w:r>
              <w:rPr>
                <w:b/>
                <w:sz w:val="20"/>
              </w:rPr>
              <w:t>GENERAL INFORMATION</w:t>
            </w:r>
            <w:r>
              <w:rPr>
                <w:b/>
                <w:i/>
                <w:sz w:val="20"/>
              </w:rPr>
              <w:t>.</w:t>
            </w:r>
            <w:r>
              <w:rPr/>
              <w:t xml:space="preserve"> Furnish the following information as to the Trustee.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48"/>
        <w:gridCol w:w="9910"/>
      </w:tblGrid>
      <w:tr>
        <w:trPr/>
        <w:tc>
          <w:tcPr>
            <w:tcW w:w="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a)</w:t>
            </w:r>
          </w:p>
        </w:tc>
        <w:tc>
          <w:tcPr>
            <w:tcW w:w="9910" w:type="dxa"/>
            <w:tcBorders/>
            <w:vAlign w:val="center"/>
          </w:tcPr>
          <w:p>
            <w:pPr>
              <w:pStyle w:val="TableContents"/>
              <w:bidi w:val="0"/>
              <w:spacing w:before="0" w:after="283"/>
              <w:jc w:val="left"/>
              <w:rPr>
                <w:i/>
              </w:rPr>
            </w:pPr>
            <w:r>
              <w:rPr>
                <w:i/>
              </w:rPr>
              <w:t>Name and address of each examining or supervising authority to which it is subject.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Comptroller of the Currency</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w:t>
      </w:r>
    </w:p>
    <w:p>
      <w:pPr>
        <w:pStyle w:val="TextBody"/>
        <w:bidi w:val="0"/>
        <w:spacing w:before="0" w:after="0"/>
        <w:ind w:left="0" w:right="0" w:hanging="0"/>
        <w:jc w:val="left"/>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185"/>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20"/>
              </w:rPr>
            </w:pPr>
            <w:r>
              <w:rPr>
                <w:sz w:val="20"/>
              </w:rPr>
              <w:t>b)</w:t>
            </w:r>
          </w:p>
        </w:tc>
        <w:tc>
          <w:tcPr>
            <w:tcW w:w="5630" w:type="dxa"/>
            <w:tcBorders/>
            <w:vAlign w:val="center"/>
          </w:tcPr>
          <w:p>
            <w:pPr>
              <w:pStyle w:val="TableContents"/>
              <w:bidi w:val="0"/>
              <w:spacing w:before="0" w:after="283"/>
              <w:jc w:val="both"/>
              <w:rPr>
                <w:i/>
              </w:rPr>
            </w:pPr>
            <w:r>
              <w:rPr>
                <w:i/>
              </w:rPr>
              <w:t>Whether it is authorized to exercise corporate trust powers.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88"/>
        <w:gridCol w:w="9579"/>
      </w:tblGrid>
      <w:tr>
        <w:trPr/>
        <w:tc>
          <w:tcPr>
            <w:tcW w:w="3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b/>
                <w:sz w:val="20"/>
              </w:rPr>
            </w:pPr>
            <w:r>
              <w:rPr>
                <w:b/>
                <w:sz w:val="20"/>
              </w:rPr>
              <w:t>Item 2.</w:t>
            </w:r>
          </w:p>
        </w:tc>
        <w:tc>
          <w:tcPr>
            <w:tcW w:w="9579" w:type="dxa"/>
            <w:tcBorders/>
            <w:vAlign w:val="center"/>
          </w:tcPr>
          <w:p>
            <w:pPr>
              <w:pStyle w:val="TableContents"/>
              <w:bidi w:val="0"/>
              <w:spacing w:before="0" w:after="283"/>
              <w:jc w:val="both"/>
              <w:rPr/>
            </w:pPr>
            <w:r>
              <w:rPr>
                <w:b/>
                <w:sz w:val="20"/>
              </w:rPr>
              <w:t xml:space="preserve">AFFILIATIONS WITH THE OBLIGOR. </w:t>
            </w:r>
            <w:r>
              <w:rPr>
                <w:i/>
              </w:rPr>
              <w:t>If the obligor is an affiliate of the Trustee, describe each such affiliation.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728"/>
        <w:gridCol w:w="9439"/>
      </w:tblGrid>
      <w:tr>
        <w:trPr/>
        <w:tc>
          <w:tcPr>
            <w:tcW w:w="3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b/>
                <w:sz w:val="20"/>
              </w:rPr>
            </w:pPr>
            <w:r>
              <w:rPr>
                <w:b/>
                <w:sz w:val="20"/>
              </w:rPr>
              <w:t>Items 3-15</w:t>
            </w:r>
          </w:p>
        </w:tc>
        <w:tc>
          <w:tcPr>
            <w:tcW w:w="9439" w:type="dxa"/>
            <w:tcBorders/>
            <w:vAlign w:val="center"/>
          </w:tcPr>
          <w:p>
            <w:pPr>
              <w:pStyle w:val="TableContents"/>
              <w:bidi w:val="0"/>
              <w:spacing w:before="0" w:after="283"/>
              <w:jc w:val="both"/>
              <w:rPr>
                <w:i/>
              </w:rPr>
            </w:pPr>
            <w:r>
              <w:rPr>
                <w:i/>
              </w:rPr>
              <w:t>Items 3-15 are not applicable because to the best of the Trustee's knowledge, the obligor is not in default under any Indenture for which the Trustee acts as Trustee.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97"/>
        <w:gridCol w:w="9470"/>
      </w:tblGrid>
      <w:tr>
        <w:trPr/>
        <w:tc>
          <w:tcPr>
            <w:tcW w:w="3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b/>
                <w:sz w:val="20"/>
              </w:rPr>
            </w:pPr>
            <w:r>
              <w:rPr>
                <w:b/>
                <w:sz w:val="20"/>
              </w:rPr>
              <w:t>Item 16.</w:t>
            </w:r>
          </w:p>
        </w:tc>
        <w:tc>
          <w:tcPr>
            <w:tcW w:w="9470" w:type="dxa"/>
            <w:tcBorders/>
            <w:vAlign w:val="center"/>
          </w:tcPr>
          <w:p>
            <w:pPr>
              <w:pStyle w:val="TableContents"/>
              <w:bidi w:val="0"/>
              <w:spacing w:before="0" w:after="283"/>
              <w:jc w:val="both"/>
              <w:rPr/>
            </w:pPr>
            <w:r>
              <w:rPr>
                <w:b/>
                <w:sz w:val="20"/>
              </w:rPr>
              <w:t>LIST OF EXHIBITS:</w:t>
            </w:r>
            <w:r>
              <w:rPr/>
              <w:t xml:space="preserve"> </w:t>
            </w:r>
            <w:r>
              <w:rPr>
                <w:i/>
              </w:rPr>
              <w:t>List below all exhibits filed as a part of this statement of eligibility and qualification.</w:t>
            </w:r>
          </w:p>
        </w:tc>
      </w:tr>
    </w:tbl>
    <w:p>
      <w:pPr>
        <w:pStyle w:val="TextBody"/>
        <w:bidi w:val="0"/>
        <w:spacing w:before="0" w:after="0"/>
        <w:ind w:left="0" w:right="0" w:hanging="0"/>
        <w:jc w:val="left"/>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38"/>
        <w:gridCol w:w="200"/>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7070" w:type="dxa"/>
            <w:tcBorders/>
            <w:vAlign w:val="center"/>
          </w:tcPr>
          <w:p>
            <w:pPr>
              <w:pStyle w:val="TableContents"/>
              <w:bidi w:val="0"/>
              <w:spacing w:before="0" w:after="283"/>
              <w:jc w:val="both"/>
              <w:rPr/>
            </w:pPr>
            <w:r>
              <w:rPr/>
              <w:t>A copy of the Articles of Association of the Trustee, attached as Exhibit 1.</w:t>
            </w:r>
          </w:p>
        </w:tc>
      </w:tr>
    </w:tbl>
    <w:p>
      <w:pPr>
        <w:pStyle w:val="TextBody"/>
        <w:bidi w:val="0"/>
        <w:spacing w:before="0" w:after="0"/>
        <w:ind w:left="0" w:right="0" w:hanging="0"/>
        <w:jc w:val="left"/>
        <w:rPr>
          <w:caps w:val="false"/>
          <w:smallCaps w:val="false"/>
        </w:rPr>
      </w:pPr>
      <w:r>
        <w:rPr>
          <w:caps w:val="false"/>
          <w:smallCaps w:val="false"/>
        </w:rPr>
        <w:t> </w:t>
      </w:r>
    </w:p>
    <w:tbl>
      <w:tblPr>
        <w:tblW w:w="9393" w:type="dxa"/>
        <w:jc w:val="left"/>
        <w:tblInd w:w="0" w:type="dxa"/>
        <w:tblLayout w:type="fixed"/>
        <w:tblCellMar>
          <w:top w:w="0" w:type="dxa"/>
          <w:left w:w="0" w:type="dxa"/>
          <w:bottom w:w="0" w:type="dxa"/>
          <w:right w:w="0" w:type="dxa"/>
        </w:tblCellMar>
      </w:tblPr>
      <w:tblGrid>
        <w:gridCol w:w="38"/>
        <w:gridCol w:w="200"/>
        <w:gridCol w:w="91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9155" w:type="dxa"/>
            <w:tcBorders/>
            <w:vAlign w:val="center"/>
          </w:tcPr>
          <w:p>
            <w:pPr>
              <w:pStyle w:val="TableContents"/>
              <w:bidi w:val="0"/>
              <w:spacing w:before="0" w:after="283"/>
              <w:jc w:val="both"/>
              <w:rPr/>
            </w:pPr>
            <w:r>
              <w:rPr/>
              <w:t>A copy of the certificate of authority of the Trustee to commence business, attached as Exhibit 2.</w:t>
            </w:r>
          </w:p>
        </w:tc>
      </w:tr>
    </w:tbl>
    <w:p>
      <w:pPr>
        <w:pStyle w:val="TextBody"/>
        <w:bidi w:val="0"/>
        <w:spacing w:before="0" w:after="0"/>
        <w:ind w:left="0" w:right="0" w:hanging="0"/>
        <w:jc w:val="left"/>
        <w:rPr>
          <w:caps w:val="false"/>
          <w:smallCaps w:val="false"/>
        </w:rPr>
      </w:pPr>
      <w:r>
        <w:rPr>
          <w:caps w:val="false"/>
          <w:smallCaps w:val="false"/>
        </w:rPr>
        <w:t> </w:t>
      </w:r>
    </w:p>
    <w:tbl>
      <w:tblPr>
        <w:tblW w:w="9633" w:type="dxa"/>
        <w:jc w:val="left"/>
        <w:tblInd w:w="0" w:type="dxa"/>
        <w:tblLayout w:type="fixed"/>
        <w:tblCellMar>
          <w:top w:w="0" w:type="dxa"/>
          <w:left w:w="0" w:type="dxa"/>
          <w:bottom w:w="0" w:type="dxa"/>
          <w:right w:w="0" w:type="dxa"/>
        </w:tblCellMar>
      </w:tblPr>
      <w:tblGrid>
        <w:gridCol w:w="38"/>
        <w:gridCol w:w="20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9395" w:type="dxa"/>
            <w:tcBorders/>
            <w:vAlign w:val="center"/>
          </w:tcPr>
          <w:p>
            <w:pPr>
              <w:pStyle w:val="TableContents"/>
              <w:bidi w:val="0"/>
              <w:spacing w:before="0" w:after="283"/>
              <w:jc w:val="both"/>
              <w:rPr/>
            </w:pPr>
            <w:r>
              <w:rPr/>
              <w:t>A copy of the authorization of the Trustee to exercise corporate trust powers, included as Exhibit 2.</w:t>
            </w:r>
          </w:p>
        </w:tc>
      </w:tr>
    </w:tbl>
    <w:p>
      <w:pPr>
        <w:pStyle w:val="TextBody"/>
        <w:bidi w:val="0"/>
        <w:spacing w:before="0" w:after="0"/>
        <w:ind w:left="0" w:right="0" w:hanging="0"/>
        <w:jc w:val="left"/>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200"/>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6380" w:type="dxa"/>
            <w:tcBorders/>
            <w:vAlign w:val="center"/>
          </w:tcPr>
          <w:p>
            <w:pPr>
              <w:pStyle w:val="TableContents"/>
              <w:bidi w:val="0"/>
              <w:spacing w:before="0" w:after="283"/>
              <w:jc w:val="both"/>
              <w:rPr/>
            </w:pPr>
            <w:r>
              <w:rPr/>
              <w:t>A copy of the existing bylaws of the Trustee, attached as Exhibit 4.</w:t>
            </w:r>
          </w:p>
        </w:tc>
      </w:tr>
    </w:tbl>
    <w:p>
      <w:pPr>
        <w:pStyle w:val="TextBody"/>
        <w:bidi w:val="0"/>
        <w:spacing w:before="0" w:after="0"/>
        <w:ind w:left="0" w:right="0" w:hanging="0"/>
        <w:jc w:val="left"/>
        <w:rPr>
          <w:caps w:val="false"/>
          <w:smallCaps w:val="false"/>
        </w:rPr>
      </w:pPr>
      <w:r>
        <w:rPr>
          <w:caps w:val="false"/>
          <w:smallCaps w:val="false"/>
        </w:rPr>
        <w:t> </w:t>
      </w:r>
    </w:p>
    <w:tbl>
      <w:tblPr>
        <w:tblW w:w="6183" w:type="dxa"/>
        <w:jc w:val="left"/>
        <w:tblInd w:w="0" w:type="dxa"/>
        <w:tblLayout w:type="fixed"/>
        <w:tblCellMar>
          <w:top w:w="0" w:type="dxa"/>
          <w:left w:w="0" w:type="dxa"/>
          <w:bottom w:w="0" w:type="dxa"/>
          <w:right w:w="0" w:type="dxa"/>
        </w:tblCellMar>
      </w:tblPr>
      <w:tblGrid>
        <w:gridCol w:w="38"/>
        <w:gridCol w:w="200"/>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5.</w:t>
            </w:r>
          </w:p>
        </w:tc>
        <w:tc>
          <w:tcPr>
            <w:tcW w:w="5945" w:type="dxa"/>
            <w:tcBorders/>
            <w:vAlign w:val="center"/>
          </w:tcPr>
          <w:p>
            <w:pPr>
              <w:pStyle w:val="TableContents"/>
              <w:bidi w:val="0"/>
              <w:spacing w:before="0" w:after="283"/>
              <w:jc w:val="both"/>
              <w:rPr/>
            </w:pPr>
            <w:r>
              <w:rPr/>
              <w:t>A copy of each Indenture referred to in Item 4. Not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6.</w:t>
            </w:r>
          </w:p>
        </w:tc>
        <w:tc>
          <w:tcPr>
            <w:tcW w:w="9972" w:type="dxa"/>
            <w:tcBorders/>
            <w:vAlign w:val="center"/>
          </w:tcPr>
          <w:p>
            <w:pPr>
              <w:pStyle w:val="TableContents"/>
              <w:bidi w:val="0"/>
              <w:spacing w:before="0" w:after="283"/>
              <w:jc w:val="both"/>
              <w:rPr/>
            </w:pPr>
            <w:r>
              <w:rPr/>
              <w:t>The consent of the Trustee required by Section 321(b) of the Trust Indenture Act of 1939, attached as Exhibit 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6"/>
        <w:gridCol w:w="9991"/>
      </w:tblGrid>
      <w:tr>
        <w:trPr/>
        <w:tc>
          <w:tcPr>
            <w:tcW w:w="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7.</w:t>
            </w:r>
          </w:p>
        </w:tc>
        <w:tc>
          <w:tcPr>
            <w:tcW w:w="9991" w:type="dxa"/>
            <w:tcBorders/>
            <w:vAlign w:val="center"/>
          </w:tcPr>
          <w:p>
            <w:pPr>
              <w:pStyle w:val="TableContents"/>
              <w:bidi w:val="0"/>
              <w:spacing w:before="0" w:after="283"/>
              <w:jc w:val="both"/>
              <w:rPr/>
            </w:pPr>
            <w:r>
              <w:rPr/>
              <w:t>Report of Condition of the Trustee as of June 30, 2026, published pursuant to law or the requirements of its supervising or examining authority, attached as Exhibit 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to be signed on its behalf by the undersigned, thereunto duly authorized, all in the City of Atlanta, State of Georgia on the 16th of October, 2026.</w:t>
      </w:r>
    </w:p>
    <w:p>
      <w:pPr>
        <w:pStyle w:val="TextBody"/>
        <w:bidi w:val="0"/>
        <w:spacing w:before="0" w:after="0"/>
        <w:ind w:left="0" w:right="0" w:hanging="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75"/>
        <w:gridCol w:w="320"/>
        <w:gridCol w:w="16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Felicia H. Powell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Felicia H. Powell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ARTICLES OF ASSOCIATION </w:t>
        <w:br/>
        <w:t>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 S. BANK TRUST COMPANY,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organizing an association (the “Association”) to perform any lawful activities of national banks, the undersigned enter into the following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FIRST. </w:t>
      </w:r>
      <w:r>
        <w:rPr>
          <w:rFonts w:ascii="Times New Roman;Times;Serif" w:hAnsi="Times New Roman;Times;Serif"/>
          <w:b w:val="false"/>
          <w:i w:val="false"/>
          <w:caps w:val="false"/>
          <w:smallCaps w:val="false"/>
          <w:sz w:val="20"/>
        </w:rPr>
        <w:t>The title of this Association shall be U. S. Bank Trust Company,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SECOND. </w:t>
      </w:r>
      <w:r>
        <w:rPr>
          <w:rFonts w:ascii="Times New Roman;Times;Serif" w:hAnsi="Times New Roman;Times;Serif"/>
          <w:b w:val="false"/>
          <w:i w:val="false"/>
          <w:caps w:val="false"/>
          <w:smallCaps w:val="false"/>
          <w:sz w:val="20"/>
        </w:rPr>
        <w:t>The main office of the Association shall be in the city of Portland, county of Multnomah, state of Oregon. The business of the Association will be limited to fiduciary powers and the support of activities incidental to the exercise of those powers. The Association may not expand or alter its business beyond that stated in this article without the prior approval of the Comptroller of the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w:t>
      </w:r>
      <w:r>
        <w:rPr>
          <w:rFonts w:ascii="Times New Roman;Times;Serif" w:hAnsi="Times New Roman;Times;Serif"/>
          <w:b w:val="false"/>
          <w:i w:val="false"/>
          <w:caps w:val="false"/>
          <w:smallCaps w:val="false"/>
          <w:sz w:val="20"/>
        </w:rPr>
        <w:t xml:space="preserve"> The board of directors of the Association shall consist of not less than five nor more than twenty-five persons, the exact number to be fixed and 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FOURTH. </w:t>
      </w:r>
      <w:r>
        <w:rPr>
          <w:rFonts w:ascii="Times New Roman;Times;Serif" w:hAnsi="Times New Roman;Times;Serif"/>
          <w:b w:val="false"/>
          <w:i w:val="false"/>
          <w:caps w:val="false"/>
          <w:smallCaps w:val="false"/>
          <w:sz w:val="20"/>
        </w:rPr>
        <w:t>There shall be an annual meeting of the shareholders to elect directors and transact whatever other business may be brought before the meeting. It shall be held at the main office or any other 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resign at any time by delivering written notice to the board of directors, its chairperson, or to the Association, which resignation shall be effective when the notice is delivered unless the notice specifies a later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FIFTH. </w:t>
      </w:r>
      <w:r>
        <w:rPr>
          <w:rFonts w:ascii="Times New Roman;Times;Serif" w:hAnsi="Times New Roman;Times;Serif"/>
          <w:b w:val="false"/>
          <w:i w:val="false"/>
          <w:caps w:val="false"/>
          <w:smallCaps w:val="false"/>
          <w:sz w:val="20"/>
        </w:rPr>
        <w:t>The authorized amount of capital stock of the Association shall be 1,000,000 shares of common stock of the par value of ten dollars ($10) each; but said capital stock may be increased or decreased from time to time, according to the provisions of the laws of the United States. The Association shall have only one class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Articles of Association or required by law, all shares of voting stock shall be voted together as a class, on any matters requiring shareholder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SIXTH. </w:t>
      </w:r>
      <w:r>
        <w:rPr>
          <w:rFonts w:ascii="Times New Roman;Times;Serif" w:hAnsi="Times New Roman;Times;Serif"/>
          <w:b w:val="false"/>
          <w:i w:val="false"/>
          <w:caps w:val="false"/>
          <w:smallCaps w:val="false"/>
          <w:sz w:val="20"/>
        </w:rPr>
        <w:t>The board of directors shall appoint one of its members president of this Association and one of its members chairperson of the board and shall 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have the power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39"/>
        <w:gridCol w:w="9814"/>
      </w:tblGrid>
      <w:tr>
        <w:trPr/>
        <w:tc>
          <w:tcPr>
            <w:tcW w:w="5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20"/>
              </w:rPr>
            </w:pPr>
            <w:r>
              <w:rPr>
                <w:sz w:val="20"/>
              </w:rPr>
              <w:t>(1)</w:t>
            </w:r>
          </w:p>
        </w:tc>
        <w:tc>
          <w:tcPr>
            <w:tcW w:w="9814" w:type="dxa"/>
            <w:tcBorders/>
            <w:vAlign w:val="center"/>
          </w:tcPr>
          <w:p>
            <w:pPr>
              <w:pStyle w:val="TableContents"/>
              <w:bidi w:val="0"/>
              <w:spacing w:before="0" w:after="283"/>
              <w:jc w:val="left"/>
              <w:rPr/>
            </w:pPr>
            <w:r>
              <w:rPr/>
              <w:t>Define the duties of the officers, employees, and agents of the Association.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(2)</w:t>
            </w:r>
          </w:p>
        </w:tc>
        <w:tc>
          <w:tcPr>
            <w:tcW w:w="9938" w:type="dxa"/>
            <w:tcBorders/>
            <w:vAlign w:val="center"/>
          </w:tcPr>
          <w:p>
            <w:pPr>
              <w:pStyle w:val="TableContents"/>
              <w:bidi w:val="0"/>
              <w:spacing w:before="0" w:after="283"/>
              <w:jc w:val="both"/>
              <w:rPr/>
            </w:pPr>
            <w:r>
              <w:rPr/>
              <w:t>Delegate the performance of its duties, but not the responsibility for its duties, to the officers, employees, and agents of the Association.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20"/>
              </w:rPr>
            </w:pPr>
            <w:r>
              <w:rPr>
                <w:sz w:val="20"/>
              </w:rPr>
              <w:t>(3)</w:t>
            </w:r>
          </w:p>
        </w:tc>
        <w:tc>
          <w:tcPr>
            <w:tcW w:w="9945" w:type="dxa"/>
            <w:tcBorders/>
            <w:vAlign w:val="center"/>
          </w:tcPr>
          <w:p>
            <w:pPr>
              <w:pStyle w:val="TableContents"/>
              <w:bidi w:val="0"/>
              <w:spacing w:before="0" w:after="283"/>
              <w:jc w:val="both"/>
              <w:rPr/>
            </w:pPr>
            <w:r>
              <w:rPr/>
              <w:t>Fix the compensation and enter employment contracts with its officers and employees upon reasonable terms and conditions consistent with applicable law.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743"/>
        <w:gridCol w:w="9347"/>
      </w:tblGrid>
      <w:tr>
        <w:trPr/>
        <w:tc>
          <w:tcPr>
            <w:tcW w:w="11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20"/>
              </w:rPr>
            </w:pPr>
            <w:r>
              <w:rPr>
                <w:sz w:val="20"/>
              </w:rPr>
              <w:t>(4)</w:t>
            </w:r>
          </w:p>
        </w:tc>
        <w:tc>
          <w:tcPr>
            <w:tcW w:w="9347" w:type="dxa"/>
            <w:tcBorders/>
            <w:vAlign w:val="center"/>
          </w:tcPr>
          <w:p>
            <w:pPr>
              <w:pStyle w:val="TableContents"/>
              <w:bidi w:val="0"/>
              <w:spacing w:before="0" w:after="283"/>
              <w:jc w:val="left"/>
              <w:rPr/>
            </w:pPr>
            <w:r>
              <w:rPr/>
              <w:t>Dismiss officers and employees.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343"/>
        <w:gridCol w:w="9809"/>
      </w:tblGrid>
      <w:tr>
        <w:trPr/>
        <w:tc>
          <w:tcPr>
            <w:tcW w:w="5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20"/>
              </w:rPr>
            </w:pPr>
            <w:r>
              <w:rPr>
                <w:sz w:val="20"/>
              </w:rPr>
              <w:t>(5)</w:t>
            </w:r>
          </w:p>
        </w:tc>
        <w:tc>
          <w:tcPr>
            <w:tcW w:w="9809" w:type="dxa"/>
            <w:tcBorders/>
            <w:vAlign w:val="center"/>
          </w:tcPr>
          <w:p>
            <w:pPr>
              <w:pStyle w:val="TableContents"/>
              <w:bidi w:val="0"/>
              <w:spacing w:before="0" w:after="283"/>
              <w:jc w:val="left"/>
              <w:rPr/>
            </w:pPr>
            <w:r>
              <w:rPr/>
              <w:t>Require bonds from officers and employees and to fix the penalty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69"/>
        <w:gridCol w:w="9895"/>
      </w:tblGrid>
      <w:tr>
        <w:trPr/>
        <w:tc>
          <w:tcPr>
            <w:tcW w:w="4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20"/>
              </w:rPr>
            </w:pPr>
            <w:r>
              <w:rPr>
                <w:sz w:val="20"/>
              </w:rPr>
              <w:t>(6)</w:t>
            </w:r>
          </w:p>
        </w:tc>
        <w:tc>
          <w:tcPr>
            <w:tcW w:w="9895" w:type="dxa"/>
            <w:tcBorders/>
            <w:vAlign w:val="center"/>
          </w:tcPr>
          <w:p>
            <w:pPr>
              <w:pStyle w:val="TableContents"/>
              <w:bidi w:val="0"/>
              <w:spacing w:before="0" w:after="283"/>
              <w:jc w:val="both"/>
              <w:rPr/>
            </w:pPr>
            <w:r>
              <w:rPr/>
              <w:t>Ratify written policies authorized by the Association's management or committees of the board.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(7)</w:t>
            </w:r>
          </w:p>
        </w:tc>
        <w:tc>
          <w:tcPr>
            <w:tcW w:w="9968" w:type="dxa"/>
            <w:tcBorders/>
            <w:vAlign w:val="center"/>
          </w:tcPr>
          <w:p>
            <w:pPr>
              <w:pStyle w:val="TableContents"/>
              <w:bidi w:val="0"/>
              <w:spacing w:before="0" w:after="283"/>
              <w:jc w:val="both"/>
              <w:rPr/>
            </w:pPr>
            <w:r>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35" w:right="0" w:hanging="0"/>
        <w:jc w:val="center"/>
        <w:rPr>
          <w:sz w:val="20"/>
          <w:bdr w:val="single" w:sz="8" w:space="1" w:color="000000"/>
        </w:rPr>
      </w:pPr>
      <w:r>
        <w:rPr>
          <w:sz w:val="20"/>
          <w:bdr w:val="single" w:sz="8" w:space="1" w:color="000000"/>
        </w:rPr>
        <w:t>- 3 -</w:t>
      </w:r>
    </w:p>
    <w:p>
      <w:pPr>
        <w:pStyle w:val="TextBody"/>
        <w:bidi w:val="0"/>
        <w:spacing w:before="0" w:after="0"/>
        <w:ind w:left="0" w:right="0" w:hanging="0"/>
        <w:jc w:val="left"/>
        <w:rPr/>
      </w:pPr>
      <w:r>
        <w:rPr/>
        <w:t> </w:t>
      </w:r>
    </w:p>
    <w:p>
      <w:pPr>
        <w:pStyle w:val="TextBody"/>
        <w:bidi w:val="0"/>
        <w:spacing w:before="0" w:after="0"/>
        <w:ind w:left="4635"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379"/>
        <w:gridCol w:w="9768"/>
      </w:tblGrid>
      <w:tr>
        <w:trPr/>
        <w:tc>
          <w:tcPr>
            <w:tcW w:w="5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20"/>
              </w:rPr>
            </w:pPr>
            <w:r>
              <w:rPr>
                <w:sz w:val="20"/>
              </w:rPr>
              <w:t>(8)</w:t>
            </w:r>
          </w:p>
        </w:tc>
        <w:tc>
          <w:tcPr>
            <w:tcW w:w="9768" w:type="dxa"/>
            <w:tcBorders/>
            <w:vAlign w:val="center"/>
          </w:tcPr>
          <w:p>
            <w:pPr>
              <w:pStyle w:val="TableContents"/>
              <w:bidi w:val="0"/>
              <w:spacing w:before="0" w:after="283"/>
              <w:jc w:val="left"/>
              <w:rPr/>
            </w:pPr>
            <w:r>
              <w:rPr/>
              <w:t>Manage and administer the business and affairs of the Association.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20"/>
              </w:rPr>
            </w:pPr>
            <w:r>
              <w:rPr>
                <w:sz w:val="20"/>
              </w:rPr>
              <w:t>(9)</w:t>
            </w:r>
          </w:p>
        </w:tc>
        <w:tc>
          <w:tcPr>
            <w:tcW w:w="9943" w:type="dxa"/>
            <w:tcBorders/>
            <w:vAlign w:val="center"/>
          </w:tcPr>
          <w:p>
            <w:pPr>
              <w:pStyle w:val="TableContents"/>
              <w:bidi w:val="0"/>
              <w:spacing w:before="0" w:after="283"/>
              <w:jc w:val="both"/>
              <w:rPr/>
            </w:pPr>
            <w:r>
              <w:rPr/>
              <w:t>Adopt initial Bylaws, not inconsistent with law or the Articles of Association, for managing the business and regulating the affairs of the Association.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4"/>
        <w:gridCol w:w="9834"/>
      </w:tblGrid>
      <w:tr>
        <w:trPr/>
        <w:tc>
          <w:tcPr>
            <w:tcW w:w="3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20"/>
              </w:rPr>
            </w:pPr>
            <w:r>
              <w:rPr>
                <w:sz w:val="20"/>
              </w:rPr>
              <w:t>(10)</w:t>
            </w:r>
          </w:p>
        </w:tc>
        <w:tc>
          <w:tcPr>
            <w:tcW w:w="9834" w:type="dxa"/>
            <w:tcBorders/>
            <w:vAlign w:val="center"/>
          </w:tcPr>
          <w:p>
            <w:pPr>
              <w:pStyle w:val="TableContents"/>
              <w:bidi w:val="0"/>
              <w:spacing w:before="0" w:after="283"/>
              <w:jc w:val="left"/>
              <w:rPr/>
            </w:pPr>
            <w:r>
              <w:rPr/>
              <w:t>Amend or repeal Bylaws, except to the extent that the Articles of Association reserve this power in whole or in part to the shareholders.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1"/>
        <w:gridCol w:w="1857"/>
        <w:gridCol w:w="8147"/>
      </w:tblGrid>
      <w:tr>
        <w:trPr/>
        <w:tc>
          <w:tcPr>
            <w:tcW w:w="201"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20"/>
              </w:rPr>
            </w:pPr>
            <w:r>
              <w:rPr>
                <w:sz w:val="20"/>
              </w:rPr>
              <w:t>(11)</w:t>
            </w:r>
          </w:p>
        </w:tc>
        <w:tc>
          <w:tcPr>
            <w:tcW w:w="8147" w:type="dxa"/>
            <w:tcBorders/>
            <w:vAlign w:val="center"/>
          </w:tcPr>
          <w:p>
            <w:pPr>
              <w:pStyle w:val="TableContents"/>
              <w:bidi w:val="0"/>
              <w:spacing w:before="0" w:after="283"/>
              <w:jc w:val="left"/>
              <w:rPr/>
            </w:pPr>
            <w:r>
              <w:rPr/>
              <w:t>Make contracts.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479"/>
        <w:gridCol w:w="9675"/>
      </w:tblGrid>
      <w:tr>
        <w:trPr/>
        <w:tc>
          <w:tcPr>
            <w:tcW w:w="5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20"/>
              </w:rPr>
            </w:pPr>
            <w:r>
              <w:rPr>
                <w:sz w:val="20"/>
              </w:rPr>
              <w:t>(12)</w:t>
            </w:r>
          </w:p>
        </w:tc>
        <w:tc>
          <w:tcPr>
            <w:tcW w:w="9675" w:type="dxa"/>
            <w:tcBorders/>
            <w:vAlign w:val="center"/>
          </w:tcPr>
          <w:p>
            <w:pPr>
              <w:pStyle w:val="TableContents"/>
              <w:bidi w:val="0"/>
              <w:spacing w:before="0" w:after="283"/>
              <w:jc w:val="left"/>
              <w:rPr/>
            </w:pPr>
            <w:r>
              <w:rPr/>
              <w:t>Generally perform all acts that are legal for a board of directors to perform.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SEVENTH. </w:t>
      </w:r>
      <w:r>
        <w:rPr>
          <w:rFonts w:ascii="Times New Roman;Times;Serif" w:hAnsi="Times New Roman;Times;Serif"/>
          <w:b w:val="false"/>
          <w:i w:val="false"/>
          <w:caps w:val="false"/>
          <w:smallCaps w:val="false"/>
          <w:sz w:val="20"/>
        </w:rPr>
        <w:t>The board of directors shall have the power to change the location of the main office to any authorized branch within the limits of the city of 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EIGHTH. </w:t>
      </w:r>
      <w:r>
        <w:rPr>
          <w:rFonts w:ascii="Times New Roman;Times;Serif" w:hAnsi="Times New Roman;Times;Serif"/>
          <w:b w:val="false"/>
          <w:i w:val="false"/>
          <w:caps w:val="false"/>
          <w:smallCaps w:val="false"/>
          <w:sz w:val="20"/>
        </w:rPr>
        <w:t>The corporate existence of this Association shall continue until termination according to the laws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NINTH. </w:t>
      </w:r>
      <w:r>
        <w:rPr>
          <w:rFonts w:ascii="Times New Roman;Times;Serif" w:hAnsi="Times New Roman;Times;Serif"/>
          <w:b w:val="false"/>
          <w:i w:val="false"/>
          <w:caps w:val="false"/>
          <w:smallCaps w:val="false"/>
          <w:sz w:val="20"/>
        </w:rPr>
        <w:t>The board of directors of the Association, or any shareholder owning, in the aggregate, not less than 25 percent of the stock of the Association, may 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TENTH. </w:t>
      </w:r>
      <w:r>
        <w:rPr>
          <w:rFonts w:ascii="Times New Roman;Times;Serif" w:hAnsi="Times New Roman;Times;Serif"/>
          <w:b w:val="false"/>
          <w:i w:val="false"/>
          <w:caps w:val="false"/>
          <w:smallCaps w:val="false"/>
          <w:sz w:val="20"/>
        </w:rPr>
        <w:t>These Articles of Association may be amended at any regular or special meeting of the shareholders by the affirmative vote of the holders of a 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we have hereunto set our hands this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June, 1997.</w:t>
      </w:r>
    </w:p>
    <w:p>
      <w:pPr>
        <w:pStyle w:val="TextBody"/>
        <w:bidi w:val="0"/>
        <w:spacing w:before="0" w:after="0"/>
        <w:ind w:left="0" w:right="0" w:hanging="0"/>
        <w:jc w:val="left"/>
        <w:rPr>
          <w:caps w:val="false"/>
          <w:smallCaps w:val="false"/>
        </w:rPr>
      </w:pPr>
      <w:r>
        <w:rPr>
          <w:caps w:val="false"/>
          <w:smallCaps w:val="false"/>
        </w:rPr>
        <w:t> </w:t>
      </w:r>
    </w:p>
    <w:tbl>
      <w:tblPr>
        <w:tblW w:w="1925" w:type="dxa"/>
        <w:jc w:val="left"/>
        <w:tblInd w:w="0" w:type="dxa"/>
        <w:shd w:fill="FFFFFF" w:val="clear"/>
        <w:tblLayout w:type="fixed"/>
        <w:tblCellMar>
          <w:top w:w="0" w:type="dxa"/>
          <w:left w:w="0" w:type="dxa"/>
          <w:bottom w:w="28" w:type="dxa"/>
          <w:right w:w="0" w:type="dxa"/>
        </w:tblCellMar>
      </w:tblPr>
      <w:tblGrid>
        <w:gridCol w:w="1850"/>
        <w:gridCol w:w="75"/>
      </w:tblGrid>
      <w:tr>
        <w:trPr/>
        <w:tc>
          <w:tcPr>
            <w:tcW w:w="185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Jeffrey T. Grubb</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Jeffrey T. Grubb</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Robert D. Sznewajs</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Robert D. Sznewajs</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Dwight V. Board</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Dwight V. Board</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P. K. Chatterjee</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 K. Chatterjee</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Robert Lane</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Robert Lane</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6010275" cy="7981950"/>
            <wp:effectExtent l="0" t="0" r="0" b="0"/>
            <wp:docPr id="1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 descr=""/>
                    <pic:cNvPicPr>
                      <a:picLocks noChangeAspect="1" noChangeArrowheads="1"/>
                    </pic:cNvPicPr>
                  </pic:nvPicPr>
                  <pic:blipFill>
                    <a:blip r:embed="rId22"/>
                    <a:stretch>
                      <a:fillRect/>
                    </a:stretch>
                  </pic:blipFill>
                  <pic:spPr bwMode="auto">
                    <a:xfrm>
                      <a:off x="0" y="0"/>
                      <a:ext cx="6010275" cy="79819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AMENDED AND RESTATED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Meetings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Annual Meeting</w:t>
      </w:r>
      <w:r>
        <w:rPr>
          <w:rFonts w:ascii="Times New Roman;Times;Serif" w:hAnsi="Times New Roman;Times;Serif"/>
          <w:b w:val="false"/>
          <w:i w:val="false"/>
          <w:caps w:val="false"/>
          <w:smallCaps w:val="false"/>
          <w:sz w:val="20"/>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such special meeting, unless otherwise provided by law, shall be called upon not less than ten (10) days nor more than sixty (60) days prior notice stating the purpose of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Nominations for Directors</w:t>
      </w:r>
      <w:r>
        <w:rPr>
          <w:rFonts w:ascii="Times New Roman;Times;Serif" w:hAnsi="Times New Roman;Times;Serif"/>
          <w:b w:val="false"/>
          <w:i w:val="false"/>
          <w:caps w:val="false"/>
          <w:smallCaps w:val="false"/>
          <w:sz w:val="20"/>
        </w:rPr>
        <w:t>. Nominations for election to the Board may be made by the Board or by any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Proxies</w:t>
      </w:r>
      <w:r>
        <w:rPr>
          <w:rFonts w:ascii="Times New Roman;Times;Serif" w:hAnsi="Times New Roman;Times;Serif"/>
          <w:b w:val="false"/>
          <w:i w:val="false"/>
          <w:caps w:val="false"/>
          <w:smallCaps w:val="false"/>
          <w:sz w:val="20"/>
        </w:rPr>
        <w:t>. Shareholders may vote at any meeting of the shareholders by proxies duly authorized in writing. Proxies shall be valid only for one meeting and any adjournments of such meeting and shall be filed with the records of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The record date for determining shareholders entitled to notice and to vote at any meeting will be thirty days before the date of such meeting, unless otherwise determined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Quorum and Voting</w:t>
      </w:r>
      <w:r>
        <w:rPr>
          <w:rFonts w:ascii="Times New Roman;Times;Serif" w:hAnsi="Times New Roman;Times;Serif"/>
          <w:b w:val="false"/>
          <w:i w:val="false"/>
          <w:caps w:val="false"/>
          <w:smallCaps w:val="false"/>
          <w:sz w:val="20"/>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val="false"/>
          <w:smallCaps w:val="false"/>
          <w:sz w:val="20"/>
          <w:u w:val="single"/>
        </w:rPr>
        <w:t>Inspectors</w:t>
      </w:r>
      <w:r>
        <w:rPr>
          <w:rFonts w:ascii="Times New Roman;Times;Serif" w:hAnsi="Times New Roman;Times;Serif"/>
          <w:b w:val="false"/>
          <w:i w:val="false"/>
          <w:caps w:val="false"/>
          <w:smallCaps w:val="false"/>
          <w:sz w:val="20"/>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val="false"/>
          <w:smallCaps w:val="false"/>
          <w:sz w:val="20"/>
          <w:u w:val="single"/>
        </w:rPr>
        <w:t>Waiver and Consent</w:t>
      </w:r>
      <w:r>
        <w:rPr>
          <w:rFonts w:ascii="Times New Roman;Times;Serif" w:hAnsi="Times New Roman;Times;Serif"/>
          <w:b w:val="false"/>
          <w:i w:val="false"/>
          <w:caps w:val="false"/>
          <w:smallCaps w:val="false"/>
          <w:sz w:val="20"/>
        </w:rPr>
        <w:t>. The shareholders may act without notice or a meeting by a unanimous written consent by all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1.9. </w:t>
      </w:r>
      <w:r>
        <w:rPr>
          <w:rFonts w:ascii="Times New Roman;Times;Serif" w:hAnsi="Times New Roman;Times;Serif"/>
          <w:b w:val="false"/>
          <w:i w:val="false"/>
          <w:caps w:val="false"/>
          <w:smallCaps w:val="false"/>
          <w:sz w:val="20"/>
          <w:u w:val="single"/>
        </w:rPr>
        <w:t>Remote Meetings</w:t>
      </w:r>
      <w:r>
        <w:rPr>
          <w:rFonts w:ascii="Times New Roman;Times;Serif" w:hAnsi="Times New Roman;Times;Serif"/>
          <w:b w:val="false"/>
          <w:i w:val="false"/>
          <w:caps w:val="false"/>
          <w:smallCaps w:val="false"/>
          <w:sz w:val="20"/>
        </w:rPr>
        <w:t>. The Board shall have the right to determine that a shareholder meeting not be held at a place, but instead be held solely by means of remote communication in the manner and to the extent permitted by the 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II</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The Board shall have the power to manage and administer the business and affairs of the Association. Except as expressly limited by law, all corporate powers of the Association shall be vested in and may be exercised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Term of Office</w:t>
      </w:r>
      <w:r>
        <w:rPr>
          <w:rFonts w:ascii="Times New Roman;Times;Serif" w:hAnsi="Times New Roman;Times;Serif"/>
          <w:b w:val="false"/>
          <w:i w:val="false"/>
          <w:caps w:val="false"/>
          <w:smallCaps w:val="false"/>
          <w:sz w:val="20"/>
        </w:rPr>
        <w:t>. The directors of this Association shall hold office for one year and until their successors are duly elected and qualified, or until their earlier resignation or removal.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Powers</w:t>
      </w:r>
      <w:r>
        <w:rPr>
          <w:rFonts w:ascii="Times New Roman;Times;Serif" w:hAnsi="Times New Roman;Times;Serif"/>
          <w:b w:val="false"/>
          <w:i w:val="false"/>
          <w:caps w:val="false"/>
          <w:smallCaps w:val="false"/>
          <w:sz w:val="20"/>
        </w:rPr>
        <w:t>. In addition to the foregoing, the Board shall have and may exercise all of the powers granted to or conferred upon it by the Articles of Association, the Bylaws and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Number</w:t>
      </w:r>
      <w:r>
        <w:rPr>
          <w:rFonts w:ascii="Times New Roman;Times;Serif" w:hAnsi="Times New Roman;Times;Serif"/>
          <w:b w:val="false"/>
          <w:i w:val="false"/>
          <w:caps w:val="false"/>
          <w:smallCaps w:val="false"/>
          <w:sz w:val="20"/>
        </w:rPr>
        <w:t>. As provided in the Articles of Association, the Board of this Association shall consist of no less than five nor more than twenty-five members, unless the OCC has exempted the Association from the twenty-five-member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 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Organization Meeting</w:t>
      </w:r>
      <w:r>
        <w:rPr>
          <w:rFonts w:ascii="Times New Roman;Times;Serif" w:hAnsi="Times New Roman;Times;Serif"/>
          <w:b w:val="false"/>
          <w:i w:val="false"/>
          <w:caps w:val="false"/>
          <w:smallCaps w:val="false"/>
          <w:sz w:val="20"/>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Regular Meetings</w:t>
      </w:r>
      <w:r>
        <w:rPr>
          <w:rFonts w:ascii="Times New Roman;Times;Serif" w:hAnsi="Times New Roman;Times;Serif"/>
          <w:b w:val="false"/>
          <w:i w:val="false"/>
          <w:caps w:val="false"/>
          <w:smallCaps w:val="false"/>
          <w:sz w:val="20"/>
        </w:rPr>
        <w:t>. The regular meetings of the Board shall be held, without notice, as the Chairman or President may designate and deem suitable.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2.8. </w:t>
      </w:r>
      <w:r>
        <w:rPr>
          <w:rFonts w:ascii="Times New Roman;Times;Serif" w:hAnsi="Times New Roman;Times;Serif"/>
          <w:b w:val="false"/>
          <w:i w:val="false"/>
          <w:caps w:val="false"/>
          <w:smallCaps w:val="false"/>
          <w:sz w:val="20"/>
          <w:u w:val="single"/>
        </w:rPr>
        <w:t>Quorum and Necessary Vote</w:t>
      </w:r>
      <w:r>
        <w:rPr>
          <w:rFonts w:ascii="Times New Roman;Times;Serif" w:hAnsi="Times New Roman;Times;Serif"/>
          <w:b w:val="false"/>
          <w:i w:val="false"/>
          <w:caps w:val="false"/>
          <w:smallCaps w:val="false"/>
          <w:sz w:val="20"/>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2.9. </w:t>
      </w:r>
      <w:r>
        <w:rPr>
          <w:rFonts w:ascii="Times New Roman;Times;Serif" w:hAnsi="Times New Roman;Times;Serif"/>
          <w:b w:val="false"/>
          <w:i w:val="false"/>
          <w:caps w:val="false"/>
          <w:smallCaps w:val="false"/>
          <w:sz w:val="20"/>
          <w:u w:val="single"/>
        </w:rPr>
        <w:t>Written Consent</w:t>
      </w:r>
      <w:r>
        <w:rPr>
          <w:rFonts w:ascii="Times New Roman;Times;Serif" w:hAnsi="Times New Roman;Times;Serif"/>
          <w:b w:val="false"/>
          <w:i w:val="false"/>
          <w:caps w:val="false"/>
          <w:smallCaps w:val="false"/>
          <w:sz w:val="20"/>
        </w:rPr>
        <w:t>. Except as otherwise required by applicable laws and regulations, the Board may act without a meeting by a unanimous written consent by all directors, to be filed with the Secretary of the Association as part of the corporate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Remote Meetings</w:t>
      </w:r>
      <w:r>
        <w:rPr>
          <w:rFonts w:ascii="Times New Roman;Times;Serif" w:hAnsi="Times New Roman;Times;Serif"/>
          <w:b w:val="false"/>
          <w:i w:val="false"/>
          <w:caps w:val="false"/>
          <w:smallCaps w:val="false"/>
          <w:sz w:val="20"/>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Vacancies</w:t>
      </w:r>
      <w:r>
        <w:rPr>
          <w:rFonts w:ascii="Times New Roman;Times;Serif" w:hAnsi="Times New Roman;Times;Serif"/>
          <w:b w:val="false"/>
          <w:i w:val="false"/>
          <w:caps w:val="false"/>
          <w:smallCaps w:val="false"/>
          <w:sz w:val="20"/>
        </w:rPr>
        <w:t>. When any vacancy occurs among the directors, the remaining members of the Board may appoint a director to fill such vacancy at any regular meeting of the Board, or at a special meeting called for that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III</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Advisory Board of Directors</w:t>
      </w:r>
      <w:r>
        <w:rPr>
          <w:rFonts w:ascii="Times New Roman;Times;Serif" w:hAnsi="Times New Roman;Times;Serif"/>
          <w:b w:val="false"/>
          <w:i w:val="false"/>
          <w:caps w:val="false"/>
          <w:smallCaps w:val="false"/>
          <w:sz w:val="20"/>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Trust Audit Committee</w:t>
      </w:r>
      <w:r>
        <w:rPr>
          <w:rFonts w:ascii="Times New Roman;Times;Serif" w:hAnsi="Times New Roman;Times;Serif"/>
          <w:b w:val="false"/>
          <w:i w:val="false"/>
          <w:caps w:val="false"/>
          <w:smallCaps w:val="false"/>
          <w:sz w:val="20"/>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financial holding company that is the ultimate parent of this Association, fulfilling the function of the trust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Must not include any officers of the Association or an affiliate who participate significantly in the administration of the Association’s fiduciary activities;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Must consist of a majority of members who are not also members of any committee to which the Board has delegated power to manage and control the fiduciary activities of the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Executive Committee</w:t>
      </w:r>
      <w:r>
        <w:rPr>
          <w:rFonts w:ascii="Times New Roman;Times;Serif" w:hAnsi="Times New Roman;Times;Serif"/>
          <w:b w:val="false"/>
          <w:i w:val="false"/>
          <w:caps w:val="false"/>
          <w:smallCaps w:val="false"/>
          <w:sz w:val="20"/>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Trust Management Committee</w:t>
      </w:r>
      <w:r>
        <w:rPr>
          <w:rFonts w:ascii="Times New Roman;Times;Serif" w:hAnsi="Times New Roman;Times;Serif"/>
          <w:b w:val="false"/>
          <w:i w:val="false"/>
          <w:caps w:val="false"/>
          <w:smallCaps w:val="false"/>
          <w:sz w:val="20"/>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Other Committees</w:t>
      </w:r>
      <w:r>
        <w:rPr>
          <w:rFonts w:ascii="Times New Roman;Times;Serif" w:hAnsi="Times New Roman;Times;Serif"/>
          <w:b w:val="false"/>
          <w:i w:val="false"/>
          <w:caps w:val="false"/>
          <w:smallCaps w:val="false"/>
          <w:sz w:val="20"/>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Meetings, Minutes and Rules</w:t>
      </w:r>
      <w:r>
        <w:rPr>
          <w:rFonts w:ascii="Times New Roman;Times;Serif" w:hAnsi="Times New Roman;Times;Serif"/>
          <w:b w:val="false"/>
          <w:i w:val="false"/>
          <w:caps w:val="false"/>
          <w:smallCaps w:val="false"/>
          <w:sz w:val="20"/>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IV</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Who Shall Constitute</w:t>
      </w:r>
      <w:r>
        <w:rPr>
          <w:rFonts w:ascii="Times New Roman;Times;Serif" w:hAnsi="Times New Roman;Times;Serif"/>
          <w:b w:val="false"/>
          <w:i w:val="false"/>
          <w:caps w:val="false"/>
          <w:smallCaps w:val="false"/>
          <w:sz w:val="20"/>
        </w:rPr>
        <w:t>. The Officers of the Association shall be a Chief Executive Officer, a President, a Secretary, and other officers such as Vice Chair, Executive Vice Presidents, Senior Vice Presidents, Vice Presidents, Assistant Vice Presidents, Assistant Secretaries, Trust Officers, Assistant Trust Officers, Controller, and Assistant Controller, as the Board may appoint from time to time. The Board may appoint or elect a person as a Vice Chair without regard to whether such person is a member of the Board. The Board may choose to delegate authority to elect officers other than the Chief Executive Officer, President, Secretary, Vice Chairs and Senior Executive Vice Presidents, to the President. Any person may hold two offices. The President shall at all times be a member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Term of Office</w:t>
      </w:r>
      <w:r>
        <w:rPr>
          <w:rFonts w:ascii="Times New Roman;Times;Serif" w:hAnsi="Times New Roman;Times;Serif"/>
          <w:b w:val="false"/>
          <w:i w:val="false"/>
          <w:caps w:val="false"/>
          <w:smallCaps w:val="false"/>
          <w:sz w:val="20"/>
        </w:rPr>
        <w:t>. All officers shall be elected for and shall hold office until their respective successors are elected and qualified or until their earlier death, resignation, retirement, disqualification or removal from office, subject to the right of the Board of Directors in its sole discretion to discharge any officer at any time. The Board may choose to delegate authority to remove officers other than the Chairman, Chief Executive Officer, President, Secretary, Vice Chair and Senior Executive Vice Presidents, to the President.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Chairman of the Board</w:t>
      </w:r>
      <w:r>
        <w:rPr>
          <w:rFonts w:ascii="Times New Roman;Times;Serif" w:hAnsi="Times New Roman;Times;Serif"/>
          <w:b w:val="false"/>
          <w:i w:val="false"/>
          <w:caps w:val="false"/>
          <w:smallCaps w:val="false"/>
          <w:sz w:val="20"/>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President</w:t>
      </w:r>
      <w:r>
        <w:rPr>
          <w:rFonts w:ascii="Times New Roman;Times;Serif" w:hAnsi="Times New Roman;Times;Serif"/>
          <w:b w:val="false"/>
          <w:i w:val="false"/>
          <w:caps w:val="false"/>
          <w:smallCaps w:val="false"/>
          <w:sz w:val="20"/>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Vice President</w:t>
      </w:r>
      <w:r>
        <w:rPr>
          <w:rFonts w:ascii="Times New Roman;Times;Serif" w:hAnsi="Times New Roman;Times;Serif"/>
          <w:b w:val="false"/>
          <w:i w:val="false"/>
          <w:caps w:val="false"/>
          <w:smallCaps w:val="false"/>
          <w:sz w:val="20"/>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Secretary</w:t>
      </w:r>
      <w:r>
        <w:rPr>
          <w:rFonts w:ascii="Times New Roman;Times;Serif" w:hAnsi="Times New Roman;Times;Serif"/>
          <w:b w:val="false"/>
          <w:i w:val="false"/>
          <w:caps w:val="false"/>
          <w:smallCaps w:val="false"/>
          <w:sz w:val="20"/>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4.7. </w:t>
      </w:r>
      <w:r>
        <w:rPr>
          <w:rFonts w:ascii="Times New Roman;Times;Serif" w:hAnsi="Times New Roman;Times;Serif"/>
          <w:b w:val="false"/>
          <w:i w:val="false"/>
          <w:caps w:val="false"/>
          <w:smallCaps w:val="false"/>
          <w:sz w:val="20"/>
          <w:u w:val="single"/>
        </w:rPr>
        <w:t>Other Officers</w:t>
      </w:r>
      <w:r>
        <w:rPr>
          <w:rFonts w:ascii="Times New Roman;Times;Serif" w:hAnsi="Times New Roman;Times;Serif"/>
          <w:b w:val="false"/>
          <w:i w:val="false"/>
          <w:caps w:val="false"/>
          <w:smallCaps w:val="false"/>
          <w:sz w:val="20"/>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V</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VI</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Corporate Seal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VII</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Execution of Instruments</w:t>
      </w:r>
      <w:r>
        <w:rPr>
          <w:rFonts w:ascii="Times New Roman;Times;Serif" w:hAnsi="Times New Roman;Times;Serif"/>
          <w:b w:val="false"/>
          <w:i w:val="false"/>
          <w:caps w:val="false"/>
          <w:smallCaps w:val="false"/>
          <w:sz w:val="20"/>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Records</w:t>
      </w:r>
      <w:r>
        <w:rPr>
          <w:rFonts w:ascii="Times New Roman;Times;Serif" w:hAnsi="Times New Roman;Times;Serif"/>
          <w:b w:val="false"/>
          <w:i w:val="false"/>
          <w:caps w:val="false"/>
          <w:smallCaps w:val="false"/>
          <w:sz w:val="20"/>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Trust Files</w:t>
      </w:r>
      <w:r>
        <w:rPr>
          <w:rFonts w:ascii="Times New Roman;Times;Serif" w:hAnsi="Times New Roman;Times;Serif"/>
          <w:b w:val="false"/>
          <w:i w:val="false"/>
          <w:caps w:val="false"/>
          <w:smallCaps w:val="false"/>
          <w:sz w:val="20"/>
        </w:rPr>
        <w:t>. There shall be maintained in the Association files all fiduciary records necessary to assure that its fiduciary responsibilities have been properly undertaken and discharged.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Trust Investments</w:t>
      </w:r>
      <w:r>
        <w:rPr>
          <w:rFonts w:ascii="Times New Roman;Times;Serif" w:hAnsi="Times New Roman;Times;Serif"/>
          <w:b w:val="false"/>
          <w:i w:val="false"/>
          <w:caps w:val="false"/>
          <w:smallCaps w:val="false"/>
          <w:sz w:val="20"/>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Whenever notice is required by the Articles of Association, the Bylaws or law, such notice shall be by mail, postage prepaid, e-mail, in person, or by any other means by which such notice can reasonably be expected to be received, using the address of the person to receive such notice, or such other personal data, as may appear on the records of the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specified otherwise in these Bylaws, prior notice shall be proper if given not more than 30 days nor less than 10 days prior to the event for which notice is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VIII</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IX</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Bylaws: Interpretation and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 These Bylaws shall be interpreted in accordance with and subject to appropriate provisions of law, and may be added to, altered, amended, or repealed, at any regular or special meeting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 A copy of the Bylaws and all amendments shall at all times be kept in a convenient place at the principal office of the Association, and shall be open for inspection to all shareholders during Association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ARTICLE X</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The fiscal year of the Association shall begin on the first day of January in each year and shall end on the thirty-first day of December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6,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16, 2026</w:t>
      </w:r>
    </w:p>
    <w:p>
      <w:pPr>
        <w:pStyle w:val="TextBody"/>
        <w:bidi w:val="0"/>
        <w:spacing w:before="0" w:after="0"/>
        <w:ind w:left="0" w:right="0" w:hanging="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75"/>
        <w:gridCol w:w="320"/>
        <w:gridCol w:w="16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Felicia H. Powell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Felicia H. Powell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Financial Condition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6/30/2026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($000’s)</w:t>
      </w:r>
    </w:p>
    <w:p>
      <w:pPr>
        <w:pStyle w:val="TextBody"/>
        <w:bidi w:val="0"/>
        <w:spacing w:before="0" w:after="0"/>
        <w:ind w:left="0" w:right="0" w:hanging="0"/>
        <w:jc w:val="left"/>
        <w:rPr>
          <w:caps w:val="false"/>
          <w:smallCaps w:val="false"/>
        </w:rPr>
      </w:pPr>
      <w:r>
        <w:rPr>
          <w:caps w:val="false"/>
          <w:smallCaps w:val="false"/>
        </w:rPr>
        <w:t> </w:t>
      </w:r>
    </w:p>
    <w:tbl>
      <w:tblPr>
        <w:tblW w:w="5430" w:type="dxa"/>
        <w:jc w:val="left"/>
        <w:tblInd w:w="0" w:type="dxa"/>
        <w:tblLayout w:type="fixed"/>
        <w:tblCellMar>
          <w:top w:w="0" w:type="dxa"/>
          <w:left w:w="0" w:type="dxa"/>
          <w:bottom w:w="0" w:type="dxa"/>
          <w:right w:w="0" w:type="dxa"/>
        </w:tblCellMar>
      </w:tblPr>
      <w:tblGrid>
        <w:gridCol w:w="4325"/>
        <w:gridCol w:w="60"/>
        <w:gridCol w:w="125"/>
        <w:gridCol w:w="845"/>
        <w:gridCol w:w="75"/>
      </w:tblGrid>
      <w:tr>
        <w:trPr/>
        <w:tc>
          <w:tcPr>
            <w:tcW w:w="43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6/30/2026</w:t>
            </w:r>
          </w:p>
        </w:tc>
        <w:tc>
          <w:tcPr>
            <w:tcW w:w="75"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Balances Due From Depository Institutions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2,474,094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Funds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&amp; Lease Financing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573,109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154,375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3,206,698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 Funds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Demand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Borrowed Money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Subordinated Notes and Debentures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268,325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268,325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and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Surplus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1,171,635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Undivided Profits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1,766,538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Minority Interest in Subsidiaries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2,938,373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3,206,698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5942"/>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0" w:name="tm2627553d1_ex-filingfees.htm"/>
      <w:bookmarkStart w:id="31" w:name="kstm2627553d1_exfilingfees"/>
      <w:bookmarkStart w:id="32" w:name="tm2627553d1_ex-filingfees.htm"/>
      <w:bookmarkStart w:id="33" w:name="kstm2627553d1_exfilingfees"/>
      <w:bookmarkEnd w:id="32"/>
      <w:bookmarkEnd w:id="33"/>
      <w:r>
        <w:br w:type="page"/>
      </w:r>
    </w:p>
    <w:tbl>
      <w:tblPr>
        <w:tblW w:w="3570" w:type="dxa"/>
        <w:jc w:val="left"/>
        <w:tblInd w:w="0" w:type="dxa"/>
        <w:tblLayout w:type="fixed"/>
        <w:tblCellMar>
          <w:top w:w="28" w:type="dxa"/>
          <w:left w:w="28" w:type="dxa"/>
          <w:bottom w:w="28" w:type="dxa"/>
          <w:right w:w="28" w:type="dxa"/>
        </w:tblCellMar>
      </w:tblPr>
      <w:tblGrid>
        <w:gridCol w:w="3416"/>
        <w:gridCol w:w="154"/>
      </w:tblGrid>
      <w:tr>
        <w:trPr/>
        <w:tc>
          <w:tcPr>
            <w:tcW w:w="357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6" w:type="dxa"/>
            <w:tcBorders/>
            <w:vAlign w:val="center"/>
          </w:tcPr>
          <w:p>
            <w:pPr>
              <w:pStyle w:val="TableContents"/>
              <w:bidi w:val="0"/>
              <w:spacing w:before="0" w:after="283"/>
              <w:jc w:val="left"/>
              <w:rPr>
                <w:b/>
              </w:rPr>
            </w:pPr>
            <w:r>
              <w:rPr>
                <w:b/>
              </w:rPr>
              <w:t xml:space="preserve">ACUITY INC. (DE)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4984" w:type="dxa"/>
        <w:jc w:val="left"/>
        <w:tblInd w:w="0" w:type="dxa"/>
        <w:tblLayout w:type="fixed"/>
        <w:tblCellMar>
          <w:top w:w="28" w:type="dxa"/>
          <w:left w:w="28" w:type="dxa"/>
          <w:bottom w:w="28" w:type="dxa"/>
          <w:right w:w="28" w:type="dxa"/>
        </w:tblCellMar>
      </w:tblPr>
      <w:tblGrid>
        <w:gridCol w:w="1126"/>
        <w:gridCol w:w="226"/>
        <w:gridCol w:w="946"/>
        <w:gridCol w:w="1171"/>
        <w:gridCol w:w="1276"/>
        <w:gridCol w:w="1186"/>
        <w:gridCol w:w="1156"/>
        <w:gridCol w:w="1156"/>
        <w:gridCol w:w="100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7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498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171" w:type="dxa"/>
            <w:tcBorders/>
            <w:shd w:fill="E7E7E2" w:val="clear"/>
            <w:vAlign w:val="center"/>
          </w:tcPr>
          <w:p>
            <w:pPr>
              <w:pStyle w:val="TableContents"/>
              <w:bidi w:val="0"/>
              <w:spacing w:before="0" w:after="283"/>
              <w:jc w:val="left"/>
              <w:rPr/>
            </w:pPr>
            <w:r>
              <w:rPr/>
              <w:t xml:space="preserve">Common Stock, par value $.01 per share, of Acuity Inc.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171" w:type="dxa"/>
            <w:tcBorders/>
            <w:shd w:fill="E7E7E2" w:val="clear"/>
            <w:vAlign w:val="center"/>
          </w:tcPr>
          <w:p>
            <w:pPr>
              <w:pStyle w:val="TableContents"/>
              <w:bidi w:val="0"/>
              <w:spacing w:before="0" w:after="283"/>
              <w:jc w:val="left"/>
              <w:rPr/>
            </w:pPr>
            <w:r>
              <w:rPr/>
              <w:t xml:space="preserve">Preferred Stock, par value $.01 per share, of Acuity Inc.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1171" w:type="dxa"/>
            <w:tcBorders/>
            <w:shd w:fill="E7E7E2" w:val="clear"/>
            <w:vAlign w:val="center"/>
          </w:tcPr>
          <w:p>
            <w:pPr>
              <w:pStyle w:val="TableContents"/>
              <w:bidi w:val="0"/>
              <w:spacing w:before="0" w:after="283"/>
              <w:jc w:val="left"/>
              <w:rPr/>
            </w:pPr>
            <w:r>
              <w:rPr/>
              <w:t xml:space="preserve">Debt Securities of Acuity Brands Lighting, Inc.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Debt </w:t>
            </w:r>
          </w:p>
        </w:tc>
        <w:tc>
          <w:tcPr>
            <w:tcW w:w="1171" w:type="dxa"/>
            <w:tcBorders/>
            <w:shd w:fill="E7E7E2" w:val="clear"/>
            <w:vAlign w:val="center"/>
          </w:tcPr>
          <w:p>
            <w:pPr>
              <w:pStyle w:val="TableContents"/>
              <w:bidi w:val="0"/>
              <w:spacing w:before="0" w:after="283"/>
              <w:jc w:val="left"/>
              <w:rPr/>
            </w:pPr>
            <w:r>
              <w:rPr/>
              <w:t xml:space="preserve">Debt Securities of Acuity Inc.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Other </w:t>
            </w:r>
          </w:p>
        </w:tc>
        <w:tc>
          <w:tcPr>
            <w:tcW w:w="1171" w:type="dxa"/>
            <w:tcBorders/>
            <w:shd w:fill="E7E7E2" w:val="clear"/>
            <w:vAlign w:val="center"/>
          </w:tcPr>
          <w:p>
            <w:pPr>
              <w:pStyle w:val="TableContents"/>
              <w:bidi w:val="0"/>
              <w:spacing w:before="0" w:after="283"/>
              <w:jc w:val="left"/>
              <w:rPr/>
            </w:pPr>
            <w:r>
              <w:rPr/>
              <w:t xml:space="preserve">Guarantees of the Debt Securities of Acuity Brands Lighting, Inc.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6 </w:t>
            </w:r>
          </w:p>
        </w:tc>
        <w:tc>
          <w:tcPr>
            <w:tcW w:w="946" w:type="dxa"/>
            <w:tcBorders/>
            <w:shd w:fill="E7E7E2" w:val="clear"/>
            <w:vAlign w:val="center"/>
          </w:tcPr>
          <w:p>
            <w:pPr>
              <w:pStyle w:val="TableContents"/>
              <w:bidi w:val="0"/>
              <w:spacing w:before="0" w:after="283"/>
              <w:jc w:val="left"/>
              <w:rPr/>
            </w:pPr>
            <w:r>
              <w:rPr/>
              <w:t xml:space="preserve">Other </w:t>
            </w:r>
          </w:p>
        </w:tc>
        <w:tc>
          <w:tcPr>
            <w:tcW w:w="1171" w:type="dxa"/>
            <w:tcBorders/>
            <w:shd w:fill="E7E7E2" w:val="clear"/>
            <w:vAlign w:val="center"/>
          </w:tcPr>
          <w:p>
            <w:pPr>
              <w:pStyle w:val="TableContents"/>
              <w:bidi w:val="0"/>
              <w:spacing w:before="0" w:after="283"/>
              <w:jc w:val="left"/>
              <w:rPr/>
            </w:pPr>
            <w:r>
              <w:rPr/>
              <w:t xml:space="preserve">Guarantees of the Debt Securities of Acuity Inc.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7 </w:t>
            </w:r>
          </w:p>
        </w:tc>
        <w:tc>
          <w:tcPr>
            <w:tcW w:w="946" w:type="dxa"/>
            <w:tcBorders/>
            <w:shd w:fill="E7E7E2" w:val="clear"/>
            <w:vAlign w:val="center"/>
          </w:tcPr>
          <w:p>
            <w:pPr>
              <w:pStyle w:val="TableContents"/>
              <w:bidi w:val="0"/>
              <w:spacing w:before="0" w:after="283"/>
              <w:jc w:val="left"/>
              <w:rPr/>
            </w:pPr>
            <w:r>
              <w:rPr/>
              <w:t xml:space="preserve">Other </w:t>
            </w:r>
          </w:p>
        </w:tc>
        <w:tc>
          <w:tcPr>
            <w:tcW w:w="1171" w:type="dxa"/>
            <w:tcBorders/>
            <w:shd w:fill="E7E7E2" w:val="clear"/>
            <w:vAlign w:val="center"/>
          </w:tcPr>
          <w:p>
            <w:pPr>
              <w:pStyle w:val="TableContents"/>
              <w:bidi w:val="0"/>
              <w:spacing w:before="0" w:after="283"/>
              <w:jc w:val="left"/>
              <w:rPr/>
            </w:pPr>
            <w:r>
              <w:rPr/>
              <w:t xml:space="preserve">Depositary Shares of Acuity Inc.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498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3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34" w:name="MaxAggtOfferingPrice"/>
            <w:bookmarkEnd w:id="34"/>
            <w:r>
              <w:rPr/>
              <w:t xml:space="preserve">$ 0.00 </w:t>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5" w:name="TotalFeeAmt"/>
            <w:bookmarkEnd w:id="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3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6" w:name="TotalPreviouslyPaidAmt"/>
            <w:bookmarkEnd w:id="3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3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TotalOffset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3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NetFeeAmt"/>
            <w:bookmarkEnd w:id="3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5"/>
        <w:gridCol w:w="8708"/>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An indeterminate aggregate initial offering price and amount of the securities of each identified class are being registered as may from time to time be offered at indeterminate prices and as may be issuable upon conversion, redemption, exchange, exercise or settlement of any securities registered hereunder, including under any applicable anti-dilution provisions. In accordance with Rules 456(b) and 457(r) under the Securities Act of 1933, as amended, the registrant is deferring payment of all of the registration fee. In connection with the securities offered hereby, the registrant will pay "pay-as-you-go registration fees" in accordance with Rule 456(b). The registrant will calculate the registration fee applicable to an offer of securities pursuant to this registration statement based on the fee payment rate in effect on the date of such fee payment.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3" w:type="dxa"/>
            <w:gridSpan w:val="2"/>
            <w:tcBorders/>
            <w:vAlign w:val="center"/>
          </w:tcPr>
          <w:p>
            <w:pPr>
              <w:pStyle w:val="TableContents"/>
              <w:bidi w:val="0"/>
              <w:spacing w:before="0" w:after="283"/>
              <w:jc w:val="left"/>
              <w:rPr/>
            </w:pPr>
            <w:r>
              <w:rPr/>
              <w:t xml:space="preserve">See Offering Note 1.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3" w:type="dxa"/>
            <w:gridSpan w:val="2"/>
            <w:tcBorders/>
            <w:vAlign w:val="center"/>
          </w:tcPr>
          <w:p>
            <w:pPr>
              <w:pStyle w:val="TableContents"/>
              <w:bidi w:val="0"/>
              <w:spacing w:before="0" w:after="283"/>
              <w:jc w:val="left"/>
              <w:rPr/>
            </w:pPr>
            <w:r>
              <w:rPr/>
              <w:t xml:space="preserve">See Offering Note 1.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3" w:type="dxa"/>
            <w:gridSpan w:val="2"/>
            <w:tcBorders/>
            <w:vAlign w:val="center"/>
          </w:tcPr>
          <w:p>
            <w:pPr>
              <w:pStyle w:val="TableContents"/>
              <w:bidi w:val="0"/>
              <w:spacing w:before="0" w:after="283"/>
              <w:jc w:val="left"/>
              <w:rPr/>
            </w:pPr>
            <w:r>
              <w:rPr/>
              <w:t xml:space="preserve">See Offering Note 1.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3" w:type="dxa"/>
            <w:gridSpan w:val="2"/>
            <w:tcBorders/>
            <w:vAlign w:val="center"/>
          </w:tcPr>
          <w:p>
            <w:pPr>
              <w:pStyle w:val="TableContents"/>
              <w:bidi w:val="0"/>
              <w:spacing w:before="0" w:after="283"/>
              <w:jc w:val="left"/>
              <w:rPr/>
            </w:pPr>
            <w:r>
              <w:rPr/>
              <w:t xml:space="preserve">Acuity Inc. and ABL IP Holding LLC may guarantee the debt securities issued by Acuity Brands Lighting, Inc. pursuant to this registration statement. No separate consideration will be received for the guarantees. Pursuant to Rule 457(n), no additional fee is payable with respect to such guarantees.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10003" w:type="dxa"/>
            <w:gridSpan w:val="2"/>
            <w:tcBorders/>
            <w:vAlign w:val="center"/>
          </w:tcPr>
          <w:p>
            <w:pPr>
              <w:pStyle w:val="TableContents"/>
              <w:bidi w:val="0"/>
              <w:spacing w:before="0" w:after="283"/>
              <w:jc w:val="left"/>
              <w:rPr/>
            </w:pPr>
            <w:r>
              <w:rPr/>
              <w:t xml:space="preserve">Acuity Brands Lighting, Inc., Acuity Intelligent Spaces Inc., QSC, LLC and ABL IP Holding LLC may guarantee the debt securities issued by Acuity Inc. pursuant to this registration statement. No separate consideration will be received for the guarantees. Pursuant to Rule 457(n), no additional fee is payable with respect to such guarantees.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7</w:t>
            </w:r>
            <w:r>
              <w:rPr/>
              <w:t xml:space="preserve"> </w:t>
            </w:r>
          </w:p>
        </w:tc>
        <w:tc>
          <w:tcPr>
            <w:tcW w:w="10003" w:type="dxa"/>
            <w:gridSpan w:val="2"/>
            <w:tcBorders/>
            <w:vAlign w:val="center"/>
          </w:tcPr>
          <w:p>
            <w:pPr>
              <w:pStyle w:val="TableContents"/>
              <w:bidi w:val="0"/>
              <w:spacing w:before="0" w:after="283"/>
              <w:jc w:val="left"/>
              <w:rPr/>
            </w:pPr>
            <w:r>
              <w:rPr/>
              <w:t xml:space="preserve">See Offering Note 1.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144215/000114421526000052/ayi-20260831.htm" TargetMode="External"/><Relationship Id="rId4" Type="http://schemas.openxmlformats.org/officeDocument/2006/relationships/hyperlink" Target="https://www.sec.gov/Archives/edgar/data/1144215/000095014401508608/g70305a5e10-12ba.txt" TargetMode="External"/><Relationship Id="rId5" Type="http://schemas.openxmlformats.org/officeDocument/2006/relationships/hyperlink" Target="http://www.sec.gov/Archives/edgar/data/1144215/000114421524000015/ayi-20240124xex32xrestated.htm" TargetMode="External"/><Relationship Id="rId6" Type="http://schemas.openxmlformats.org/officeDocument/2006/relationships/hyperlink" Target="http://www.sec.gov/Archives/edgar/data/1144215/000119312525052542/d931430dex31.htm" TargetMode="External"/><Relationship Id="rId7" Type="http://schemas.openxmlformats.org/officeDocument/2006/relationships/hyperlink" Target="http://www.sec.gov/Archives/edgar/data/1144215/000119312525052542/d931430dex33.htm" TargetMode="External"/><Relationship Id="rId8" Type="http://schemas.openxmlformats.org/officeDocument/2006/relationships/hyperlink" Target="http://www.sec.gov/Archives/edgar/data/0001144215/000119312520290161/d807246dex41.htm" TargetMode="External"/><Relationship Id="rId9" Type="http://schemas.openxmlformats.org/officeDocument/2006/relationships/hyperlink" Target="https://www.sec.gov/Archives/edgar/data/1144215/000119312525166406/d87918dex410.htm" TargetMode="External"/><Relationship Id="rId10" Type="http://schemas.openxmlformats.org/officeDocument/2006/relationships/hyperlink" Target="https://www.sec.gov/Archives/edgar/data/1144215/000095014401510028/g73259ex4-1.txt" TargetMode="External"/><Relationship Id="rId11" Type="http://schemas.openxmlformats.org/officeDocument/2006/relationships/hyperlink" Target="http://www.sec.gov/Archives/edgar/data/0001144215/000119312520290161/d807246dex41.htm" TargetMode="External"/><Relationship Id="rId12" Type="http://schemas.openxmlformats.org/officeDocument/2006/relationships/hyperlink" Target="https://www.sec.gov/Archives/edgar/data/1144215/000119312525166406/d87918dex410.htm" TargetMode="External"/><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image" Target="media/image4.jpeg"/><Relationship Id="rId16" Type="http://schemas.openxmlformats.org/officeDocument/2006/relationships/image" Target="media/image4.jpeg"/><Relationship Id="rId17" Type="http://schemas.openxmlformats.org/officeDocument/2006/relationships/image" Target="media/image4.jpeg"/><Relationship Id="rId18" Type="http://schemas.openxmlformats.org/officeDocument/2006/relationships/image" Target="media/image4.jpeg"/><Relationship Id="rId19" Type="http://schemas.openxmlformats.org/officeDocument/2006/relationships/image" Target="media/image4.jpeg"/><Relationship Id="rId20" Type="http://schemas.openxmlformats.org/officeDocument/2006/relationships/image" Target="media/image4.jpeg"/><Relationship Id="rId21" Type="http://schemas.openxmlformats.org/officeDocument/2006/relationships/image" Target="media/image5.jpeg"/><Relationship Id="rId22" Type="http://schemas.openxmlformats.org/officeDocument/2006/relationships/image" Target="media/image6.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36360</Words>
  <Characters>189995</Characters>
  <CharactersWithSpaces>227281</CharactersWithSpaces>
  <Paragraphs>2999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