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87d2_s8.htm"/>
      <w:bookmarkStart w:id="1" w:name="kstm2627787d2_s8"/>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filed with the United States Securities and Exchange Commission on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ACUITY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58-2632672</w:t>
            </w:r>
          </w:p>
        </w:tc>
      </w:tr>
      <w:tr>
        <w:trPr/>
        <w:tc>
          <w:tcPr>
            <w:tcW w:w="4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1170 Peachtree Street, 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Georgia 30309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Acuity Inc. 2012 Omnibus Stock Incentive Compensation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Barry R. Goldman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 and General Counsel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Acuity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1170 Peachtree Street, N.E., Suite 1200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Georgia 30309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853-1400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Hille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Foley &amp; Lardner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E Wisconsin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Milwaukee, WI 53202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 271-2400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1925"/>
        <w:gridCol w:w="230"/>
        <w:gridCol w:w="2270"/>
        <w:gridCol w:w="24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Smaller reporting company </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Emerging growth company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PURSUANT TO GENERAL INSTRUCTION E TO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Registration Statement is to register the offer and sale of 500,000 additional shares of common stock, par value $0.01 per share (“Common Stock”), of Acuity Inc. (the “Registrant”) in connection with the Amended and Restated Acuity Inc. 2012 Omnibus Stock Incentive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Pursuant to General Instruction E of Form S-8, the contents of the Registrant’s Registration Statements on </w:t>
      </w:r>
      <w:hyperlink r:id="rId2">
        <w:r>
          <w:rPr>
            <w:rStyle w:val="InternetLink"/>
            <w:rFonts w:ascii="Times New Roman;Times;Serif" w:hAnsi="Times New Roman;Times;Serif"/>
            <w:b w:val="false"/>
            <w:i w:val="false"/>
            <w:caps w:val="false"/>
            <w:smallCaps w:val="false"/>
            <w:sz w:val="20"/>
          </w:rPr>
          <w:t>Form S-8 filed with the Securities and Exchange Commission (the “Commission”) on January 30, 2012</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as amended by the Post-Effective Amendment No. 1 filed on January 31, 2022</w:t>
        </w:r>
      </w:hyperlink>
      <w:r>
        <w:rPr>
          <w:rFonts w:ascii="Times New Roman;Times;Serif" w:hAnsi="Times New Roman;Times;Serif"/>
          <w:b w:val="false"/>
          <w:i w:val="false"/>
          <w:caps w:val="false"/>
          <w:smallCaps w:val="false"/>
          <w:sz w:val="20"/>
        </w:rPr>
        <w:t xml:space="preserve">) (Reg. No. 333-179243), </w:t>
      </w:r>
      <w:hyperlink r:id="rId4">
        <w:r>
          <w:rPr>
            <w:rStyle w:val="InternetLink"/>
            <w:rFonts w:ascii="Times New Roman;Times;Serif" w:hAnsi="Times New Roman;Times;Serif"/>
            <w:b w:val="false"/>
            <w:i w:val="false"/>
            <w:caps w:val="false"/>
            <w:smallCaps w:val="false"/>
            <w:sz w:val="20"/>
          </w:rPr>
          <w:t>January 11, 2013 (Reg. No. 333-185971)</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11, 2018 (Reg. No. 333-222510)</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January 31, 2022 (Reg. No. 333-262426)</w:t>
        </w:r>
      </w:hyperlink>
      <w:r>
        <w:rPr>
          <w:rFonts w:ascii="Times New Roman;Times;Serif" w:hAnsi="Times New Roman;Times;Serif"/>
          <w:b w:val="false"/>
          <w:i w:val="false"/>
          <w:caps w:val="false"/>
          <w:smallCaps w:val="false"/>
          <w:sz w:val="20"/>
        </w:rPr>
        <w:t>, including the documents incorporated by reference therein,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441"/>
        <w:gridCol w:w="8689"/>
      </w:tblGrid>
      <w:tr>
        <w:trPr/>
        <w:tc>
          <w:tcPr>
            <w:tcW w:w="7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b/>
              </w:rPr>
            </w:pPr>
            <w:r>
              <w:rPr>
                <w:b/>
              </w:rPr>
              <w:t>Item 3.</w:t>
            </w:r>
          </w:p>
        </w:tc>
        <w:tc>
          <w:tcPr>
            <w:tcW w:w="8689" w:type="dxa"/>
            <w:tcBorders/>
            <w:vAlign w:val="center"/>
          </w:tcPr>
          <w:p>
            <w:pPr>
              <w:pStyle w:val="TableContents"/>
              <w:bidi w:val="0"/>
              <w:spacing w:before="0" w:after="283"/>
              <w:jc w:val="both"/>
              <w:rPr/>
            </w:pPr>
            <w:r>
              <w:rPr>
                <w:b/>
                <w:u w:val="single"/>
              </w:rPr>
              <w:t>Incorporation of Documents by Reference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pursuant to the Securities Exchange Act of 1934, as amended (the “Exchange Act”), are incorporated herein by reference and deemed to be a part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both"/>
              <w:rPr/>
            </w:pPr>
            <w:r>
              <w:rPr/>
              <w:t xml:space="preserve">The Registrant’s </w:t>
            </w:r>
            <w:hyperlink r:id="rId7">
              <w:r>
                <w:rPr>
                  <w:rStyle w:val="InternetLink"/>
                </w:rPr>
                <w:t>Annual Report on Form 10-K for the fiscal year ended August 31, 2025, filed with the Commission on October 27, 2025</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 xml:space="preserve">The Registrant’s Quarterly Reports on Form 10-Q </w:t>
            </w:r>
            <w:hyperlink r:id="rId8">
              <w:r>
                <w:rPr>
                  <w:rStyle w:val="InternetLink"/>
                </w:rPr>
                <w:t>for the period ended November 30, 2025, filed with the Commission on January 8, 2026</w:t>
              </w:r>
            </w:hyperlink>
            <w:r>
              <w:rPr/>
              <w:t xml:space="preserve">, </w:t>
            </w:r>
            <w:hyperlink r:id="rId9">
              <w:r>
                <w:rPr>
                  <w:rStyle w:val="InternetLink"/>
                </w:rPr>
                <w:t>for the period ended February 28, 2026 filed with the Commission on April 2, 2026</w:t>
              </w:r>
            </w:hyperlink>
            <w:r>
              <w:rPr/>
              <w:t xml:space="preserve">, and </w:t>
            </w:r>
            <w:hyperlink r:id="rId10">
              <w:r>
                <w:rPr>
                  <w:rStyle w:val="InternetLink"/>
                </w:rPr>
                <w:t>for the period ended May 31, 2026 filed with the Commission on June 25,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3.</w:t>
            </w:r>
          </w:p>
        </w:tc>
        <w:tc>
          <w:tcPr>
            <w:tcW w:w="9984" w:type="dxa"/>
            <w:tcBorders/>
            <w:vAlign w:val="center"/>
          </w:tcPr>
          <w:p>
            <w:pPr>
              <w:pStyle w:val="TableContents"/>
              <w:bidi w:val="0"/>
              <w:spacing w:before="0" w:after="283"/>
              <w:jc w:val="both"/>
              <w:rPr/>
            </w:pPr>
            <w:r>
              <w:rPr/>
              <w:t xml:space="preserve">The Registrant’s Current Reports on Form 8-K filed with the Commission on </w:t>
            </w:r>
            <w:hyperlink r:id="rId11">
              <w:r>
                <w:rPr>
                  <w:rStyle w:val="InternetLink"/>
                </w:rPr>
                <w:t>January 23, 2026</w:t>
              </w:r>
            </w:hyperlink>
            <w:r>
              <w:rPr/>
              <w:t xml:space="preserve">, </w:t>
            </w:r>
            <w:hyperlink r:id="rId12">
              <w:r>
                <w:rPr>
                  <w:rStyle w:val="InternetLink"/>
                </w:rPr>
                <w:t>May 13, 2026</w:t>
              </w:r>
            </w:hyperlink>
            <w:r>
              <w:rPr/>
              <w:t xml:space="preserve"> and </w:t>
            </w:r>
            <w:hyperlink r:id="rId13">
              <w:r>
                <w:rPr>
                  <w:rStyle w:val="InternetLink"/>
                </w:rPr>
                <w:t>September 29,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1" w:type="dxa"/>
            <w:tcBorders/>
            <w:vAlign w:val="center"/>
          </w:tcPr>
          <w:p>
            <w:pPr>
              <w:pStyle w:val="TableContents"/>
              <w:bidi w:val="0"/>
              <w:spacing w:before="0" w:after="283"/>
              <w:jc w:val="both"/>
              <w:rPr/>
            </w:pPr>
            <w:r>
              <w:rPr/>
              <w:t xml:space="preserve">The description of the Registrant’s Common Stock contained in </w:t>
            </w:r>
            <w:hyperlink r:id="rId14">
              <w:r>
                <w:rPr>
                  <w:rStyle w:val="InternetLink"/>
                </w:rPr>
                <w:t>Exhibit 4(a) to the Registrant’s Annual Report on Form 10-K for the fiscal year ended August 31, 2025, filed with the Commission on October 27, 2025</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283"/>
              <w:jc w:val="both"/>
              <w:rPr/>
            </w:pPr>
            <w:r>
              <w:rPr/>
              <w:t>All documents filed by the Registrant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statement contained in any incorporated document shall be modified or superseded for the purposes of this Registration Statement if it is modified or superseded by a document which is also incorporated in this Registration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4357"/>
        <w:gridCol w:w="5620"/>
      </w:tblGrid>
      <w:tr>
        <w:trPr/>
        <w:tc>
          <w:tcPr>
            <w:tcW w:w="228"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b/>
              </w:rPr>
            </w:pPr>
            <w:r>
              <w:rPr>
                <w:b/>
              </w:rPr>
              <w:t>Item 8.</w:t>
            </w:r>
          </w:p>
        </w:tc>
        <w:tc>
          <w:tcPr>
            <w:tcW w:w="5620" w:type="dxa"/>
            <w:tcBorders/>
            <w:vAlign w:val="center"/>
          </w:tcPr>
          <w:p>
            <w:pPr>
              <w:pStyle w:val="TableContents"/>
              <w:bidi w:val="0"/>
              <w:spacing w:before="0" w:after="283"/>
              <w:jc w:val="both"/>
              <w:rPr/>
            </w:pPr>
            <w:r>
              <w:rPr>
                <w:b/>
                <w:u w:val="single"/>
              </w:rPr>
              <w:t>Exhibits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as required by Item 601 of Regulation S-K, are attached or incorporated by reference, as indicated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60"/>
        <w:gridCol w:w="9465"/>
      </w:tblGrid>
      <w:tr>
        <w:trPr/>
        <w:tc>
          <w:tcPr>
            <w:tcW w:w="6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w:t>
              <w:br/>
              <w:t>Number</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Exhibit Description</w:t>
            </w:r>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r:id="rId16">
              <w:r>
                <w:rPr>
                  <w:rStyle w:val="InternetLink"/>
                  <w:rFonts w:ascii="Times New Roman;Times;Serif" w:hAnsi="Times New Roman;Times;Serif"/>
                  <w:sz w:val="20"/>
                </w:rPr>
                <w:t>Restated Certificate of Incorporation of Acuity Brands, Inc., dated as of January 25, 2024 (Incorporated by reference to Exhibit 3.2 to the Registrant’s Current Report on Form 8-K filed with the Commission on January 26, 2024).</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r:id="rId18">
              <w:r>
                <w:rPr>
                  <w:rStyle w:val="InternetLink"/>
                  <w:rFonts w:ascii="Times New Roman;Times;Serif" w:hAnsi="Times New Roman;Times;Serif"/>
                  <w:sz w:val="20"/>
                </w:rPr>
                <w:t>Certificate of Amendment to the Restated Certificate of Incorporation of Acuity Inc., effective as of March 26, 2025 (Incorporated by reference to Exhibit 3.1 to the Registrant’s Current Report on Form 8-K filed with the Commission on March 12, 2025).</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r:id="rId20">
              <w:r>
                <w:rPr>
                  <w:rStyle w:val="InternetLink"/>
                  <w:rFonts w:ascii="Times New Roman;Times;Serif" w:hAnsi="Times New Roman;Times;Serif"/>
                  <w:sz w:val="20"/>
                </w:rPr>
                <w:t>Amended and Restated Bylaws of Acuity Inc., effective as of March 26, 2025 (Incorporated by reference to Exhibit 3.3 to the Registrant’s Current Report on Form 8-K filed with the Commission on March 12, 2025).</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r:id="rId21">
              <w:r>
                <w:rPr>
                  <w:rStyle w:val="InternetLink"/>
                  <w:rFonts w:ascii="Times New Roman;Times;Serif" w:hAnsi="Times New Roman;Times;Serif"/>
                  <w:sz w:val="20"/>
                </w:rPr>
                <w:t>(4.4)</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r:id="rId22">
              <w:r>
                <w:rPr>
                  <w:rStyle w:val="InternetLink"/>
                  <w:rFonts w:ascii="Times New Roman;Times;Serif" w:hAnsi="Times New Roman;Times;Serif"/>
                  <w:sz w:val="20"/>
                </w:rPr>
                <w:t>Amended and Restated Acuity Inc. 2012 Omnibus Stock Incentive Compensation Plan  (Incorporated by reference to Exhibit 10(d) to the Registrant’s Quarterly Report on Form 10-Q filed with the Commission on June 26, 2025).</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2_ex5.htm">
              <w:r>
                <w:rPr>
                  <w:rStyle w:val="InternetLink"/>
                  <w:rFonts w:ascii="Times New Roman;Times;Serif" w:hAnsi="Times New Roman;Times;Serif"/>
                  <w:sz w:val="20"/>
                </w:rPr>
                <w:t xml:space="preserve">(5)* </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w:anchor="tm2627787d2_ex5.htm">
              <w:r>
                <w:rPr>
                  <w:rStyle w:val="InternetLink"/>
                  <w:rFonts w:ascii="Times New Roman;Times;Serif" w:hAnsi="Times New Roman;Times;Serif"/>
                  <w:sz w:val="20"/>
                </w:rPr>
                <w:t>Opinion of Foley &amp; Lardner LLP.</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2_ex23-1.htm">
              <w:r>
                <w:rPr>
                  <w:rStyle w:val="InternetLink"/>
                  <w:rFonts w:ascii="Times New Roman;Times;Serif" w:hAnsi="Times New Roman;Times;Serif"/>
                  <w:sz w:val="20"/>
                </w:rPr>
                <w:t xml:space="preserve">(23.1)* </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w:anchor="tm2627787d2_ex23-1.htm">
              <w:r>
                <w:rPr>
                  <w:rStyle w:val="InternetLink"/>
                  <w:rFonts w:ascii="Times New Roman;Times;Serif" w:hAnsi="Times New Roman;Times;Serif"/>
                  <w:sz w:val="20"/>
                </w:rPr>
                <w:t xml:space="preserve">Consent of Ernst &amp; Young LLP, the Registrant’s Independent Registered Public Accounting Firm. </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2_ex5.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w:anchor="tm2627787d2_ex5.htm">
              <w:r>
                <w:rPr>
                  <w:rStyle w:val="InternetLink"/>
                  <w:rFonts w:ascii="Times New Roman;Times;Serif" w:hAnsi="Times New Roman;Times;Serif"/>
                  <w:sz w:val="20"/>
                </w:rPr>
                <w:t xml:space="preserve">Consent of Foley &amp; Lardner LLP (contained in Exhibit (5)). </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w:anchor="a_001">
              <w:r>
                <w:rPr>
                  <w:rStyle w:val="InternetLink"/>
                  <w:rFonts w:ascii="Times New Roman;Times;Serif" w:hAnsi="Times New Roman;Times;Serif"/>
                  <w:sz w:val="20"/>
                </w:rPr>
                <w:t xml:space="preserve">Powers of Attorney (included on the signature page to this Registration Statement). </w:t>
              </w:r>
            </w:hyperlink>
          </w:p>
        </w:tc>
      </w:tr>
      <w:tr>
        <w:trPr/>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2_ex-filingfees.htm">
              <w:r>
                <w:rPr>
                  <w:rStyle w:val="InternetLink"/>
                  <w:rFonts w:ascii="Times New Roman;Times;Serif" w:hAnsi="Times New Roman;Times;Serif"/>
                  <w:sz w:val="20"/>
                </w:rPr>
                <w:t>(107)*</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pPr>
            <w:hyperlink w:anchor="tm2627787d2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 w:name="a_001"/>
      <w:bookmarkEnd w:id="2"/>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October 21, 2026.</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365"/>
        <w:gridCol w:w="4025"/>
      </w:tblGrid>
      <w:tr>
        <w:trPr/>
        <w:tc>
          <w:tcPr>
            <w:tcW w:w="75"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ACUITY INC.</w:t>
            </w:r>
          </w:p>
        </w:tc>
      </w:tr>
      <w:tr>
        <w:trPr/>
        <w:tc>
          <w:tcPr>
            <w:tcW w:w="75"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Karen J. Holcom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J. Holcom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individual signature appears below hereby authorizes and appoints Neil M. Ashe and Karen J. Holcom, and each of them, with full power of substitution and resubstitution and full power to act without the other, as his or her true and lawful attorney-in-fact and agent to act in his or her name, place and stead to execute in the name and on behalf of each person, individually and in each capacity stated below,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below on October 21, 2026.</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985"/>
        <w:gridCol w:w="60"/>
        <w:gridCol w:w="4775"/>
      </w:tblGrid>
      <w:tr>
        <w:trPr/>
        <w:tc>
          <w:tcPr>
            <w:tcW w:w="19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Signature</w:t>
            </w:r>
          </w:p>
        </w:tc>
        <w:tc>
          <w:tcPr>
            <w:tcW w:w="60" w:type="dxa"/>
            <w:tcBorders/>
            <w:vAlign w:val="center"/>
          </w:tcPr>
          <w:p>
            <w:pPr>
              <w:pStyle w:val="TableContents"/>
              <w:bidi w:val="0"/>
              <w:spacing w:before="0" w:after="283"/>
              <w:jc w:val="center"/>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Neil M. Ashe</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Chairman, Director, President and Chief Executive Officer </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Neil M. Ashe</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(Principal Executive Officer)</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Karen J. Holcom</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J. Holcom</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Marcia J. Avedon</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Marcia J. Avedon, Ph.D.</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Patrick Battle</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Patrick Battle</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J. Bender</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J. Bender</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25" w:type="dxa"/>
        <w:jc w:val="left"/>
        <w:tblInd w:w="0" w:type="dxa"/>
        <w:tblLayout w:type="fixed"/>
        <w:tblCellMar>
          <w:top w:w="0" w:type="dxa"/>
          <w:left w:w="0" w:type="dxa"/>
          <w:bottom w:w="0" w:type="dxa"/>
          <w:right w:w="0" w:type="dxa"/>
        </w:tblCellMar>
      </w:tblPr>
      <w:tblGrid>
        <w:gridCol w:w="2270"/>
        <w:gridCol w:w="60"/>
        <w:gridCol w:w="695"/>
      </w:tblGrid>
      <w:tr>
        <w:trPr/>
        <w:tc>
          <w:tcPr>
            <w:tcW w:w="227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Signature</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 Douglas Dillard, Jr.</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 Douglas Dillard, Jr.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H. Hance, Jr.</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H. Hance, Jr.</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Maya Leibman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Maya Leibman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Laura G. O’Shaughnessy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Laura G. O’Shaughnessy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J. Sachleben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J. Sachleben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Nicholas Tzitzon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Nicholas Tzitzon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27787d2_ex5.htm"/>
      <w:bookmarkStart w:id="4" w:name="kstm2627787d2_ex5"/>
      <w:bookmarkEnd w:id="3"/>
      <w:bookmarkEnd w:id="4"/>
      <w:r>
        <w:rPr/>
        <w:t> </w:t>
      </w:r>
      <w:r>
        <w:br w:type="page"/>
      </w:r>
    </w:p>
    <w:p>
      <w:pPr>
        <w:pStyle w:val="TextBody"/>
        <w:bidi w:val="0"/>
        <w:jc w:val="right"/>
        <w:rPr>
          <w:b/>
        </w:rPr>
      </w:pPr>
      <w:r>
        <w:rPr>
          <w:b/>
        </w:rPr>
        <w:t>Exhibit 5</w:t>
      </w:r>
    </w:p>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2265"/>
        <w:gridCol w:w="2795"/>
      </w:tblGrid>
      <w:tr>
        <w:trPr/>
        <w:tc>
          <w:tcPr>
            <w:tcW w:w="2265" w:type="dxa"/>
            <w:tcBorders/>
            <w:vAlign w:val="center"/>
          </w:tcPr>
          <w:p>
            <w:pPr>
              <w:pStyle w:val="TableContents"/>
              <w:bidi w:val="0"/>
              <w:spacing w:before="0" w:after="283"/>
              <w:jc w:val="left"/>
              <w:rPr/>
            </w:pPr>
            <w:r>
              <w:rPr/>
              <w:drawing>
                <wp:inline distT="0" distB="0" distL="0" distR="0">
                  <wp:extent cx="14287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3"/>
                          <a:stretch>
                            <a:fillRect/>
                          </a:stretch>
                        </pic:blipFill>
                        <pic:spPr bwMode="auto">
                          <a:xfrm>
                            <a:off x="0" y="0"/>
                            <a:ext cx="1428750" cy="619125"/>
                          </a:xfrm>
                          <a:prstGeom prst="rect">
                            <a:avLst/>
                          </a:prstGeom>
                        </pic:spPr>
                      </pic:pic>
                    </a:graphicData>
                  </a:graphic>
                </wp:inline>
              </w:drawing>
            </w:r>
          </w:p>
        </w:tc>
        <w:tc>
          <w:tcPr>
            <w:tcW w:w="2795" w:type="dxa"/>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ATTORNEYS AT LAW</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777 East Wisconsin Avenue</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Milwaukee, WI 53202-5306</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414.271.2400 TEL</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414.297.4900 FAX</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 Peachtree Street, N.E.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1200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Acuity Inc., a Delaware corporation (the “Company”), in conjunction with the preparation of a Registration Statement on Form S-8 (the “Registration Statement”) to be filed by the Company with the Securities and Exchange Commission under the Securities Act of 1933, as amended (the “Securities Act”), relating to 500,000 shares (the “Registered Shares”) of the Company’s common stock, par value $0.01 per share (the “Common Stock”), that may be issued pursuant to the Amended and Restated Acuity Inc. 2012 Omnibus Stock Incentive Compensation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representation, we have examined: (i) the Plan and related documents; (ii) the Registration Statement, including the exhibits (including those incorporated by reference) constituting a part of the Registration Statement; (iii) the Restated Certificate of Incorporation of the Company, as amended; (iv) the Amended and Restated Bylaws of the Company; (v) the resolutions of the Company’s Board of Directors relating to the Plan and the issuance of Common Stock thereunder; and (vi) such other corporate proceedings, documents and records as we have deemed necessary or appropriate to enable us to render this opinion. In our examination of the above-referenced documents, we have assumed the genuineness of all signatures, the authenticity of all documents, certificates and instruments submitted to us as originals and the conformity with the originals of all documents submitted to us as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offer and sale of the Registered Shares while the Registration Statement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herein as to the laws of any state or jurisdiction other than the General Corporation Law of the State of Delaware and the federal laws of the United States of America. This opinion is being furnished in connection with the requirements of Item 601(b)(5) of Regulation S-K under the Securities Act, and no opinion is expressed herein as to any matter pertaining to the contents of the Registration Statement or the prospectus that forms a part thereof, other than as expressly stated herein with respect to the issuance of the Registered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each of the Registered Shares, if and when issued by the Company pursuant to the terms and conditions of the Plan and as contemplated by the Registration Statement,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 BOSTON | BRUSSELS | CHICAGO | DALLAS | DENVER | DETROIT | HOUSTON | JACKSONVILLE | LOS ANGELES MADISON | MEXICO CITY | MIAMI | MILWAUKEE | NASHVILLE | NEW YORK | ORLANDO | RALEIGH | SACRAMENTO | SALT LAKE CITY SAN DIEGO | SAN FRANCISCO | SILICON VALLEY | TALLAHASSEE | TAMPA | TOKYO |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430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143000" cy="514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this opinion as an exhibit to the Registration Statement. In giving our consent, we do not admit that we are “experts” within the meaning of Section 11 of the Securities Act or within the category of persons whose consent is required by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Foley &amp; Lardner LLP</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 &amp; Lardner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7787d2_ex23-1.htm"/>
      <w:bookmarkStart w:id="6" w:name="kstm2627787d2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the Amended and Restated Acuity Inc. 2012 Omnibus Stock Incentive Compensation Plan of Acuity Inc. of our reports dated October 27, 2025, with respect to the consolidated financial statements of Acuity Inc. and the effectiveness of internal control over financial reporting of Acuity Inc. included in its Annual Report (Form 10-K) for the year ended August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tm2627787d2_ex-filingfees.htm"/>
      <w:bookmarkStart w:id="8" w:name="kstm2627787d2_exfilingfees"/>
      <w:bookmarkStart w:id="9" w:name="tm2627787d2_ex-filingfees.htm"/>
      <w:bookmarkStart w:id="10" w:name="kstm2627787d2_exfilingfees"/>
      <w:bookmarkEnd w:id="9"/>
      <w:bookmarkEnd w:id="10"/>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ACUITY INC. (DE)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4"/>
        <w:gridCol w:w="1293"/>
        <w:gridCol w:w="1202"/>
        <w:gridCol w:w="1215"/>
        <w:gridCol w:w="1820"/>
        <w:gridCol w:w="100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20"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4" w:type="dxa"/>
            <w:tcBorders/>
            <w:shd w:fill="E7E7E2" w:val="clear"/>
            <w:vAlign w:val="center"/>
          </w:tcPr>
          <w:p>
            <w:pPr>
              <w:pStyle w:val="TableContents"/>
              <w:bidi w:val="0"/>
              <w:spacing w:before="0" w:after="283"/>
              <w:jc w:val="left"/>
              <w:rPr/>
            </w:pPr>
            <w:r>
              <w:rPr/>
              <w:t xml:space="preserve">Common Stock, par value $0.01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500,000 </w:t>
            </w:r>
          </w:p>
        </w:tc>
        <w:tc>
          <w:tcPr>
            <w:tcW w:w="1215" w:type="dxa"/>
            <w:tcBorders/>
            <w:shd w:fill="E7E7E2" w:val="clear"/>
            <w:vAlign w:val="center"/>
          </w:tcPr>
          <w:p>
            <w:pPr>
              <w:pStyle w:val="TableContents"/>
              <w:bidi w:val="0"/>
              <w:spacing w:before="0" w:after="283"/>
              <w:jc w:val="right"/>
              <w:rPr/>
            </w:pPr>
            <w:r>
              <w:rPr/>
              <w:t xml:space="preserve">$ 298.43 </w:t>
            </w:r>
          </w:p>
        </w:tc>
        <w:tc>
          <w:tcPr>
            <w:tcW w:w="1820" w:type="dxa"/>
            <w:tcBorders/>
            <w:shd w:fill="E7E7E2" w:val="clear"/>
            <w:vAlign w:val="center"/>
          </w:tcPr>
          <w:p>
            <w:pPr>
              <w:pStyle w:val="TableContents"/>
              <w:bidi w:val="0"/>
              <w:spacing w:before="0" w:after="283"/>
              <w:jc w:val="right"/>
              <w:rPr/>
            </w:pPr>
            <w:r>
              <w:rPr/>
              <w:t xml:space="preserve">$ 149,215,000.00 </w:t>
            </w:r>
          </w:p>
        </w:tc>
        <w:tc>
          <w:tcPr>
            <w:tcW w:w="1007" w:type="dxa"/>
            <w:tcBorders/>
            <w:shd w:fill="E7E7E2" w:val="clear"/>
            <w:vAlign w:val="center"/>
          </w:tcPr>
          <w:p>
            <w:pPr>
              <w:pStyle w:val="TableContents"/>
              <w:bidi w:val="0"/>
              <w:spacing w:before="0" w:after="283"/>
              <w:jc w:val="right"/>
              <w:rPr/>
            </w:pPr>
            <w:r>
              <w:rPr/>
              <w:t xml:space="preserve">0.000087 </w:t>
            </w:r>
          </w:p>
        </w:tc>
        <w:tc>
          <w:tcPr>
            <w:tcW w:w="1426" w:type="dxa"/>
            <w:tcBorders/>
            <w:shd w:fill="E7E7E2" w:val="clear"/>
            <w:vAlign w:val="center"/>
          </w:tcPr>
          <w:p>
            <w:pPr>
              <w:pStyle w:val="TableContents"/>
              <w:bidi w:val="0"/>
              <w:spacing w:before="0" w:after="283"/>
              <w:jc w:val="right"/>
              <w:rPr/>
            </w:pPr>
            <w:r>
              <w:rPr/>
              <w:t xml:space="preserve">$ 12,981.70 </w:t>
            </w:r>
          </w:p>
        </w:tc>
      </w:tr>
      <w:tr>
        <w:trPr/>
        <w:tc>
          <w:tcPr>
            <w:tcW w:w="4737" w:type="dxa"/>
            <w:gridSpan w:val="5"/>
            <w:tcBorders/>
            <w:vAlign w:val="center"/>
          </w:tcPr>
          <w:p>
            <w:pPr>
              <w:pStyle w:val="TableContents"/>
              <w:bidi w:val="0"/>
              <w:spacing w:before="0" w:after="0"/>
              <w:ind w:left="0" w:right="0" w:hanging="0"/>
              <w:jc w:val="right"/>
              <w:rPr/>
            </w:pPr>
            <w:r>
              <w:rPr/>
              <w:t>Total Offering Amounts:</w:t>
            </w:r>
          </w:p>
        </w:tc>
        <w:tc>
          <w:tcPr>
            <w:tcW w:w="12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0"/>
              <w:ind w:left="0" w:right="0" w:hanging="0"/>
              <w:jc w:val="right"/>
              <w:rPr/>
            </w:pPr>
            <w:bookmarkStart w:id="11" w:name="MaxAggtOfferingPrice"/>
            <w:bookmarkEnd w:id="11"/>
            <w:r>
              <w:rPr/>
              <w:t xml:space="preserve">$ 149,215,000.00 </w:t>
            </w:r>
          </w:p>
        </w:tc>
        <w:tc>
          <w:tcPr>
            <w:tcW w:w="100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$ 12,981.70 </w:t>
            </w:r>
          </w:p>
        </w:tc>
      </w:tr>
      <w:tr>
        <w:trPr/>
        <w:tc>
          <w:tcPr>
            <w:tcW w:w="4737" w:type="dxa"/>
            <w:gridSpan w:val="5"/>
            <w:tcBorders/>
            <w:vAlign w:val="center"/>
          </w:tcPr>
          <w:p>
            <w:pPr>
              <w:pStyle w:val="TableContents"/>
              <w:bidi w:val="0"/>
              <w:spacing w:before="0" w:after="0"/>
              <w:ind w:left="0" w:right="0" w:hanging="0"/>
              <w:jc w:val="right"/>
              <w:rPr/>
            </w:pPr>
            <w:r>
              <w:rPr/>
              <w:t xml:space="preserve">Total Fee Offsets: </w:t>
            </w:r>
          </w:p>
        </w:tc>
        <w:tc>
          <w:tcPr>
            <w:tcW w:w="12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37" w:type="dxa"/>
            <w:gridSpan w:val="5"/>
            <w:tcBorders/>
            <w:vAlign w:val="center"/>
          </w:tcPr>
          <w:p>
            <w:pPr>
              <w:pStyle w:val="TableContents"/>
              <w:bidi w:val="0"/>
              <w:spacing w:before="0" w:after="0"/>
              <w:ind w:left="0" w:right="0" w:hanging="0"/>
              <w:jc w:val="right"/>
              <w:rPr/>
            </w:pPr>
            <w:r>
              <w:rPr/>
              <w:t xml:space="preserve">Net Fee Due: </w:t>
            </w:r>
          </w:p>
        </w:tc>
        <w:tc>
          <w:tcPr>
            <w:tcW w:w="12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4" w:name="NetFeeAmt"/>
            <w:bookmarkEnd w:id="14"/>
            <w:r>
              <w:rPr/>
              <w:t xml:space="preserve">$ 12,981.70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promulgated under the Securities Act of 1933, as amended, in addition to the number of shares shown under Amount Registered, which represents 500,000 shares of common stock of Acuity Inc. (the "Registrant") issuable under the Amended and Restated Acuity Inc. 2012 Omnibus Stock Incentive Compensation Plan (the "Plan"), this Registration Statement shall also cover any additional shares of common stock of the Registrant that become issuable under the Plan in accordance with the adjustment and anti-dilution provisions of the Plan. The Proposed Maximum Offering Price Per Share and the Maximum Aggregate Offering Price are estimated in accordance with Rule 457(c) and Rule 457(h) solely for the purpose of calculating the registration fee based on a per share price of $298.43, the average of the high and low price per share of the Registrant's common stock as reported on the New York Stock Exchange on October 15,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4215/000114421512000026/ayi-2012130xsx8.htm" TargetMode="External"/><Relationship Id="rId3" Type="http://schemas.openxmlformats.org/officeDocument/2006/relationships/hyperlink" Target="https://www.sec.gov/Archives/edgar/data/1144215/000114421522000038/ayi-01312022xsx8posamd1tod.htm" TargetMode="External"/><Relationship Id="rId4" Type="http://schemas.openxmlformats.org/officeDocument/2006/relationships/hyperlink" Target="https://www.sec.gov/Archives/edgar/data/1144215/000119312513010758/d465732ds8.htm" TargetMode="External"/><Relationship Id="rId5" Type="http://schemas.openxmlformats.org/officeDocument/2006/relationships/hyperlink" Target="https://www.sec.gov/Archives/edgar/data/1144215/000114421518000013/s-8amended2012equityplan.htm" TargetMode="External"/><Relationship Id="rId6" Type="http://schemas.openxmlformats.org/officeDocument/2006/relationships/hyperlink" Target="https://www.sec.gov/Archives/edgar/data/1144215/000114421522000040/ayi-01312022xsx8omnibuspla.htm" TargetMode="External"/><Relationship Id="rId7" Type="http://schemas.openxmlformats.org/officeDocument/2006/relationships/hyperlink" Target="https://www.sec.gov/ix?doc=/Archives/edgar/data/0001144215/000114421525000082/ayi-20250831.htm" TargetMode="External"/><Relationship Id="rId8" Type="http://schemas.openxmlformats.org/officeDocument/2006/relationships/hyperlink" Target="https://www.sec.gov/ix?doc=/Archives/edgar/data/0001144215/000114421526000010/ayi-20251130.htm" TargetMode="External"/><Relationship Id="rId9" Type="http://schemas.openxmlformats.org/officeDocument/2006/relationships/hyperlink" Target="https://www.sec.gov/ix?doc=/Archives/edgar/data/0001144215/000114421526000021/ayi-20260228.htm" TargetMode="External"/><Relationship Id="rId10" Type="http://schemas.openxmlformats.org/officeDocument/2006/relationships/hyperlink" Target="https://www.sec.gov/ix?doc=/Archives/edgar/data/0001144215/000114421526000036/ayi-20260531.htm" TargetMode="External"/><Relationship Id="rId11" Type="http://schemas.openxmlformats.org/officeDocument/2006/relationships/hyperlink" Target="https://www.sec.gov/ix?doc=/Archives/edgar/data/0001144215/000114421526000015/ayi-20260121.htm" TargetMode="External"/><Relationship Id="rId12" Type="http://schemas.openxmlformats.org/officeDocument/2006/relationships/hyperlink" Target="https://www.sec.gov/ix?doc=/Archives/edgar/data/0001144215/000119312526221945/d63196d8k.htm" TargetMode="External"/><Relationship Id="rId13" Type="http://schemas.openxmlformats.org/officeDocument/2006/relationships/hyperlink" Target="https://www.sec.gov/ix?doc=/Archives/edgar/data/0001144215/000110465926111917/tm2626454d1_8k.htm" TargetMode="External"/><Relationship Id="rId14" Type="http://schemas.openxmlformats.org/officeDocument/2006/relationships/hyperlink" Target="https://www.sec.gov/Archives/edgar/data/1144215/000114421525000082/ayi-20250831xex4a.htm" TargetMode="External"/><Relationship Id="rId15" Type="http://schemas.openxmlformats.org/officeDocument/2006/relationships/hyperlink" Target="https://www.sec.gov/Archives/edgar/data/1144215/000114421524000015/ayi-20240124xex32xrestated.htm" TargetMode="External"/><Relationship Id="rId16" Type="http://schemas.openxmlformats.org/officeDocument/2006/relationships/hyperlink" Target="https://www.sec.gov/Archives/edgar/data/1144215/000114421524000015/ayi-20240124xex32xrestated.htm" TargetMode="External"/><Relationship Id="rId17" Type="http://schemas.openxmlformats.org/officeDocument/2006/relationships/hyperlink" Target="https://www.sec.gov/Archives/edgar/data/1144215/000119312525052542/d931430dex31.htm" TargetMode="External"/><Relationship Id="rId18" Type="http://schemas.openxmlformats.org/officeDocument/2006/relationships/hyperlink" Target="https://www.sec.gov/Archives/edgar/data/1144215/000119312525052542/d931430dex31.htm" TargetMode="External"/><Relationship Id="rId19" Type="http://schemas.openxmlformats.org/officeDocument/2006/relationships/hyperlink" Target="https://www.sec.gov/Archives/edgar/data/1144215/000119312525052542/d931430dex33.htm" TargetMode="External"/><Relationship Id="rId20" Type="http://schemas.openxmlformats.org/officeDocument/2006/relationships/hyperlink" Target="https://www.sec.gov/Archives/edgar/data/1144215/000119312525052542/d931430dex33.htm" TargetMode="External"/><Relationship Id="rId21" Type="http://schemas.openxmlformats.org/officeDocument/2006/relationships/hyperlink" Target="https://www.sec.gov/Archives/edgar/data/1144215/000114421525000059/ayi5312025-ex10d.htm" TargetMode="External"/><Relationship Id="rId22" Type="http://schemas.openxmlformats.org/officeDocument/2006/relationships/hyperlink" Target="https://www.sec.gov/Archives/edgar/data/1144215/000114421525000059/ayi5312025-ex10d.htm" TargetMode="External"/><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2275</Words>
  <Characters>12095</Characters>
  <CharactersWithSpaces>14421</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