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October 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ACUITY BRANDS,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01" w:right="89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001-16583</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58-2632672</w:t>
      </w:r>
    </w:p>
    <w:p>
      <w:pPr>
        <w:spacing w:after="0" w:line="56" w:lineRule="exact"/>
        <w:rPr>
          <w:sz w:val="24"/>
          <w:szCs w:val="24"/>
          <w:color w:val="auto"/>
        </w:rPr>
      </w:pPr>
    </w:p>
    <w:p>
      <w:pPr>
        <w:sectPr>
          <w:pgSz w:w="11900" w:h="16838" w:orient="portrait"/>
          <w:cols w:equalWidth="0" w:num="3">
            <w:col w:w="4740" w:space="720"/>
            <w:col w:w="3000" w:space="720"/>
            <w:col w:w="1580"/>
          </w:cols>
          <w:pgMar w:left="240" w:top="301" w:right="89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Company or organization)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3">
            <w:col w:w="4340" w:space="720"/>
            <w:col w:w="3280" w:space="720"/>
            <w:col w:w="1700"/>
          </w:cols>
          <w:pgMar w:left="240" w:top="301" w:right="899" w:bottom="1440" w:gutter="0" w:footer="0" w:header="0"/>
          <w:type w:val="continuous"/>
        </w:sectPr>
      </w:pPr>
    </w:p>
    <w:p>
      <w:pPr>
        <w:spacing w:after="0" w:line="11"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1170 Peachtree St., N.E., Suite 2400, Atlanta, GA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30309</w:t>
      </w:r>
    </w:p>
    <w:p>
      <w:pPr>
        <w:spacing w:after="0" w:line="55" w:lineRule="exact"/>
        <w:rPr>
          <w:sz w:val="24"/>
          <w:szCs w:val="24"/>
          <w:color w:val="auto"/>
        </w:rPr>
      </w:pPr>
    </w:p>
    <w:p>
      <w:pPr>
        <w:sectPr>
          <w:pgSz w:w="11900" w:h="16838" w:orient="portrait"/>
          <w:cols w:equalWidth="0" w:num="2">
            <w:col w:w="7740" w:space="720"/>
            <w:col w:w="2300"/>
          </w:cols>
          <w:pgMar w:left="240" w:top="301"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01"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404-853-1400</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01"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2, 2009, the Board of Directors declared a quarterly dividend of 13 cents per share. A copy of the press release is attached as exhibit 99.1 to this Current Report on Form 8-K, which is incorporated herein by reference in its entirety.</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October 2, 2009 (Filed with the Commission as part of this Form 8-K).</w:t>
      </w:r>
    </w:p>
    <w:p>
      <w:pPr>
        <w:sectPr>
          <w:pgSz w:w="11900" w:h="16838" w:orient="portrait"/>
          <w:cols w:equalWidth="0" w:num="1">
            <w:col w:w="11140"/>
          </w:cols>
          <w:pgMar w:left="240" w:top="274" w:right="51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ACUITY BRANDS, INC.</w:t>
      </w:r>
    </w:p>
    <w:p>
      <w:pPr>
        <w:spacing w:after="0" w:line="225"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K. R</w:t>
      </w:r>
      <w:r>
        <w:rPr>
          <w:rFonts w:ascii="Arial" w:cs="Arial" w:eastAsia="Arial" w:hAnsi="Arial"/>
          <w:sz w:val="13"/>
          <w:szCs w:val="13"/>
          <w:color w:val="auto"/>
        </w:rPr>
        <w:t>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Richard K. Reece</w:t>
      </w:r>
    </w:p>
    <w:p>
      <w:pPr>
        <w:spacing w:after="0" w:line="2" w:lineRule="exact"/>
        <w:rPr>
          <w:sz w:val="20"/>
          <w:szCs w:val="20"/>
          <w:color w:val="auto"/>
        </w:rPr>
      </w:pPr>
    </w:p>
    <w:p>
      <w:pPr>
        <w:jc w:val="center"/>
        <w:ind w:left="7220"/>
        <w:spacing w:after="0"/>
        <w:rPr>
          <w:sz w:val="20"/>
          <w:szCs w:val="20"/>
          <w:color w:val="auto"/>
        </w:rPr>
      </w:pPr>
      <w:r>
        <w:rPr>
          <w:rFonts w:ascii="Arial" w:cs="Arial" w:eastAsia="Arial" w:hAnsi="Arial"/>
          <w:sz w:val="12"/>
          <w:szCs w:val="12"/>
          <w:b w:val="1"/>
          <w:bCs w:val="1"/>
          <w:color w:val="auto"/>
        </w:rPr>
        <w:t>Executive Vice President and Chief Financial Officer</w:t>
      </w:r>
    </w:p>
    <w:p>
      <w:pPr>
        <w:sectPr>
          <w:pgSz w:w="11900" w:h="16838" w:orient="portrait"/>
          <w:cols w:equalWidth="0" w:num="1">
            <w:col w:w="10840"/>
          </w:cols>
          <w:pgMar w:left="240" w:top="274" w:right="81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 2009 (Filed with the Commission as part of this Form 8-K).</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 Release</w:t>
      </w:r>
    </w:p>
    <w:p>
      <w:pPr>
        <w:spacing w:after="0" w:line="218"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Acuity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5831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8315" cy="308610"/>
                    </a:xfrm>
                    <a:prstGeom prst="rect">
                      <a:avLst/>
                    </a:prstGeom>
                    <a:noFill/>
                  </pic:spPr>
                </pic:pic>
              </a:graphicData>
            </a:graphic>
          </wp:anchor>
        </w:drawing>
      </w:r>
    </w:p>
    <w:p>
      <w:pPr>
        <w:ind w:left="9260"/>
        <w:spacing w:after="0"/>
        <w:rPr>
          <w:sz w:val="20"/>
          <w:szCs w:val="20"/>
          <w:color w:val="auto"/>
        </w:rPr>
      </w:pPr>
      <w:r>
        <w:rPr>
          <w:rFonts w:ascii="Arial" w:cs="Arial" w:eastAsia="Arial" w:hAnsi="Arial"/>
          <w:sz w:val="18"/>
          <w:szCs w:val="18"/>
          <w:color w:val="auto"/>
        </w:rPr>
        <w:t>1170 Peachtree Street, NE</w:t>
      </w:r>
    </w:p>
    <w:p>
      <w:pPr>
        <w:spacing w:after="0" w:line="9"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Suite 2400</w:t>
      </w:r>
    </w:p>
    <w:p>
      <w:pPr>
        <w:spacing w:after="0" w:line="9"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Atlanta, GA 30309</w:t>
      </w:r>
    </w:p>
    <w:p>
      <w:pPr>
        <w:spacing w:after="0" w:line="205"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Tel: 404 853 1400</w:t>
      </w:r>
    </w:p>
    <w:p>
      <w:pPr>
        <w:spacing w:after="0" w:line="15"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Fax: 404 853 1420</w:t>
      </w:r>
    </w:p>
    <w:p>
      <w:pPr>
        <w:spacing w:after="0" w:line="205"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AcuityBrands.com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(404) 853-1423</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DECLARES QUARTERLY DIVIDEND</w:t>
      </w:r>
    </w:p>
    <w:p>
      <w:pPr>
        <w:spacing w:after="0" w:line="15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 xml:space="preserve">ATLANTA, October 2, 2009 </w:t>
      </w:r>
      <w:r>
        <w:rPr>
          <w:rFonts w:ascii="Arial" w:cs="Arial" w:eastAsia="Arial" w:hAnsi="Arial"/>
          <w:sz w:val="18"/>
          <w:szCs w:val="18"/>
          <w:color w:val="auto"/>
        </w:rPr>
        <w:t>– The Board of Directors of Acuity Brands, Inc. (NYSE: AYI) today declared a quarterly dividend of 13 cents per share.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is payable on November 2, 2009 to shareholders of record on October 16, 2009.</w:t>
      </w:r>
    </w:p>
    <w:p>
      <w:pPr>
        <w:spacing w:after="0" w:line="126"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Acuity Brands, Inc. owns and operates Acuity Brands Lighting, Inc. and Acuity Brands Technology Services, Inc. With fiscal year 2008 net sales of approximately $2.0 billion, Acuity Brands Lighting and Acuity Brands Technology Services combined are one of the world’s leading providers of lighting fixtures and related products and services and include brands such as Lithonia Lighting</w:t>
      </w:r>
      <w:r>
        <w:rPr>
          <w:rFonts w:ascii="Arial" w:cs="Arial" w:eastAsia="Arial" w:hAnsi="Arial"/>
          <w:sz w:val="10"/>
          <w:szCs w:val="10"/>
          <w:color w:val="auto"/>
        </w:rPr>
        <w:t>®</w:t>
      </w:r>
      <w:r>
        <w:rPr>
          <w:rFonts w:ascii="Arial" w:cs="Arial" w:eastAsia="Arial" w:hAnsi="Arial"/>
          <w:sz w:val="16"/>
          <w:szCs w:val="16"/>
          <w:color w:val="auto"/>
        </w:rPr>
        <w:t>, Holophane</w:t>
      </w:r>
      <w:r>
        <w:rPr>
          <w:rFonts w:ascii="Arial" w:cs="Arial" w:eastAsia="Arial" w:hAnsi="Arial"/>
          <w:sz w:val="10"/>
          <w:szCs w:val="10"/>
          <w:color w:val="auto"/>
        </w:rPr>
        <w:t>®</w:t>
      </w:r>
      <w:r>
        <w:rPr>
          <w:rFonts w:ascii="Arial" w:cs="Arial" w:eastAsia="Arial" w:hAnsi="Arial"/>
          <w:sz w:val="16"/>
          <w:szCs w:val="16"/>
          <w:color w:val="auto"/>
        </w:rPr>
        <w:t>, Peerless</w:t>
      </w:r>
      <w:r>
        <w:rPr>
          <w:rFonts w:ascii="Arial" w:cs="Arial" w:eastAsia="Arial" w:hAnsi="Arial"/>
          <w:sz w:val="10"/>
          <w:szCs w:val="10"/>
          <w:color w:val="auto"/>
        </w:rPr>
        <w:t>®</w:t>
      </w:r>
      <w:r>
        <w:rPr>
          <w:rFonts w:ascii="Arial" w:cs="Arial" w:eastAsia="Arial" w:hAnsi="Arial"/>
          <w:sz w:val="16"/>
          <w:szCs w:val="16"/>
          <w:color w:val="auto"/>
        </w:rPr>
        <w:t>, Mark Architectural Lighting™, Hydrel</w:t>
      </w:r>
      <w:r>
        <w:rPr>
          <w:rFonts w:ascii="Arial" w:cs="Arial" w:eastAsia="Arial" w:hAnsi="Arial"/>
          <w:sz w:val="10"/>
          <w:szCs w:val="10"/>
          <w:color w:val="auto"/>
        </w:rPr>
        <w:t>®</w:t>
      </w:r>
      <w:r>
        <w:rPr>
          <w:rFonts w:ascii="Arial" w:cs="Arial" w:eastAsia="Arial" w:hAnsi="Arial"/>
          <w:sz w:val="16"/>
          <w:szCs w:val="16"/>
          <w:color w:val="auto"/>
        </w:rPr>
        <w:t>, American Electric Lighting</w:t>
      </w:r>
      <w:r>
        <w:rPr>
          <w:rFonts w:ascii="Arial" w:cs="Arial" w:eastAsia="Arial" w:hAnsi="Arial"/>
          <w:sz w:val="10"/>
          <w:szCs w:val="10"/>
          <w:color w:val="auto"/>
        </w:rPr>
        <w:t>®</w:t>
      </w:r>
      <w:r>
        <w:rPr>
          <w:rFonts w:ascii="Arial" w:cs="Arial" w:eastAsia="Arial" w:hAnsi="Arial"/>
          <w:sz w:val="16"/>
          <w:szCs w:val="16"/>
          <w:color w:val="auto"/>
        </w:rPr>
        <w:t>, Gotham</w:t>
      </w:r>
      <w:r>
        <w:rPr>
          <w:rFonts w:ascii="Arial" w:cs="Arial" w:eastAsia="Arial" w:hAnsi="Arial"/>
          <w:sz w:val="10"/>
          <w:szCs w:val="10"/>
          <w:color w:val="auto"/>
        </w:rPr>
        <w:t>®</w:t>
      </w:r>
      <w:r>
        <w:rPr>
          <w:rFonts w:ascii="Arial" w:cs="Arial" w:eastAsia="Arial" w:hAnsi="Arial"/>
          <w:sz w:val="16"/>
          <w:szCs w:val="16"/>
          <w:color w:val="auto"/>
        </w:rPr>
        <w:t>, Carandini</w:t>
      </w:r>
      <w:r>
        <w:rPr>
          <w:rFonts w:ascii="Arial" w:cs="Arial" w:eastAsia="Arial" w:hAnsi="Arial"/>
          <w:sz w:val="10"/>
          <w:szCs w:val="10"/>
          <w:color w:val="auto"/>
        </w:rPr>
        <w:t>®</w:t>
      </w:r>
      <w:r>
        <w:rPr>
          <w:rFonts w:ascii="Arial" w:cs="Arial" w:eastAsia="Arial" w:hAnsi="Arial"/>
          <w:sz w:val="16"/>
          <w:szCs w:val="16"/>
          <w:color w:val="auto"/>
        </w:rPr>
        <w:t>, MetalOptics</w:t>
      </w:r>
      <w:r>
        <w:rPr>
          <w:rFonts w:ascii="Arial" w:cs="Arial" w:eastAsia="Arial" w:hAnsi="Arial"/>
          <w:sz w:val="10"/>
          <w:szCs w:val="10"/>
          <w:color w:val="auto"/>
        </w:rPr>
        <w:t>®</w:t>
      </w:r>
      <w:r>
        <w:rPr>
          <w:rFonts w:ascii="Arial" w:cs="Arial" w:eastAsia="Arial" w:hAnsi="Arial"/>
          <w:sz w:val="16"/>
          <w:szCs w:val="16"/>
          <w:color w:val="auto"/>
        </w:rPr>
        <w:t>, Antique Street Lamps™, RELOC</w:t>
      </w:r>
      <w:r>
        <w:rPr>
          <w:rFonts w:ascii="Arial" w:cs="Arial" w:eastAsia="Arial" w:hAnsi="Arial"/>
          <w:sz w:val="10"/>
          <w:szCs w:val="10"/>
          <w:color w:val="auto"/>
        </w:rPr>
        <w:t>®</w:t>
      </w:r>
      <w:r>
        <w:rPr>
          <w:rFonts w:ascii="Arial" w:cs="Arial" w:eastAsia="Arial" w:hAnsi="Arial"/>
          <w:sz w:val="16"/>
          <w:szCs w:val="16"/>
          <w:color w:val="auto"/>
        </w:rPr>
        <w:t>, Lighting Control and Design™, Sensor Switch</w:t>
      </w:r>
      <w:r>
        <w:rPr>
          <w:rFonts w:ascii="Arial" w:cs="Arial" w:eastAsia="Arial" w:hAnsi="Arial"/>
          <w:sz w:val="10"/>
          <w:szCs w:val="10"/>
          <w:color w:val="auto"/>
        </w:rPr>
        <w:t>®</w:t>
      </w:r>
      <w:r>
        <w:rPr>
          <w:rFonts w:ascii="Arial" w:cs="Arial" w:eastAsia="Arial" w:hAnsi="Arial"/>
          <w:sz w:val="16"/>
          <w:szCs w:val="16"/>
          <w:color w:val="auto"/>
        </w:rPr>
        <w:t>, Synergy</w:t>
      </w:r>
      <w:r>
        <w:rPr>
          <w:rFonts w:ascii="Arial" w:cs="Arial" w:eastAsia="Arial" w:hAnsi="Arial"/>
          <w:sz w:val="10"/>
          <w:szCs w:val="10"/>
          <w:color w:val="auto"/>
        </w:rPr>
        <w:t>®</w:t>
      </w:r>
      <w:r>
        <w:rPr>
          <w:rFonts w:ascii="Arial" w:cs="Arial" w:eastAsia="Arial" w:hAnsi="Arial"/>
          <w:sz w:val="16"/>
          <w:szCs w:val="16"/>
          <w:color w:val="auto"/>
        </w:rPr>
        <w:t xml:space="preserve"> Lighting Controls, SAERIS™, and ROAM</w:t>
      </w:r>
      <w:r>
        <w:rPr>
          <w:rFonts w:ascii="Arial" w:cs="Arial" w:eastAsia="Arial" w:hAnsi="Arial"/>
          <w:sz w:val="10"/>
          <w:szCs w:val="10"/>
          <w:color w:val="auto"/>
        </w:rPr>
        <w:t>®</w:t>
      </w:r>
      <w:r>
        <w:rPr>
          <w:rFonts w:ascii="Arial" w:cs="Arial" w:eastAsia="Arial" w:hAnsi="Arial"/>
          <w:sz w:val="16"/>
          <w:szCs w:val="16"/>
          <w:color w:val="auto"/>
        </w:rPr>
        <w:t>. Headquartered in Atlanta, Georgia, Acuity Brands employs approximately 6,000 associates and has operations throughout North America and in Europe and Asia.</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2019-12-10T20:47:01Z</dcterms:created>
  <dcterms:modified xsi:type="dcterms:W3CDTF">2019-12-10T20:47:01Z</dcterms:modified>
</cp:coreProperties>
</file>