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230735.xml.htm"/>
      <w:bookmarkStart w:id="1" w:name="kswkform3_179123073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Dadyar Sara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ACUITY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1170 PEACHTREE STREET, NE,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ACUITY INC. (DE)</w:t>
              </w:r>
            </w:hyperlink>
            <w:r>
              <w:rPr/>
              <w:t xml:space="preserve"> [ </w:t>
            </w:r>
            <w:r>
              <w:rPr>
                <w:rFonts w:ascii="Times;serif" w:hAnsi="Times;serif"/>
                <w:color w:val="0000FF"/>
                <w:sz w:val="24"/>
                <w:shd w:fill="FFFFFF" w:val="clear"/>
              </w:rPr>
              <w:t>AYI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Global Head HR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Chanda Kirchner, Attorney-in-Fact for Sara Dadyar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24.htm"/>
      <w:bookmarkStart w:id="3" w:name="ksex24"/>
      <w:bookmarkEnd w:id="2"/>
      <w:bookmarkEnd w:id="3"/>
      <w:r>
        <w:rPr/>
        <w:drawing>
          <wp:inline distT="0" distB="0" distL="0" distR="0">
            <wp:extent cx="9182100"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constitutes and appoints each of Barry R. Goldman and Chanda L. Kirchner, or either of them acting singly and with full power of substitution, the undersigned's true and lawful attorney-in-fact to: 1. execute for and on behalf of the undersigned, in the undersigned's capacity as an officer or director or both of Acuity Inc. (the "Company"), Forms 3, 4 and 5 (and any amendments thereto) in accordance with Section 16(a) of the Securities Exchange Act of 1934, as amended (the "Exchange Act"), and the rules thereunder; 2. 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3.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 4. take any other action in connection with the foregoing which, in the opinion of such attorney-in-fact, may be of benefit to, in the best interest of, or legally required by or for, the undersigned, it being understood that the documents executed by such attorney- in-fact on behalf of the undersigned pursuant to this Limited Power of Attorney shall be in such form and shall contain such information and disclosure as such attorney-in- fact may approve in such attorney-in-fact's discretion. 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 This Limited Power of Attorney shall remain in full force and effect until the undersigned is no longer required to file Forms 3, 4 or 5 with respect to the undersigned's holdings of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transactions in securities issued by the Company, unless earlier revoked by the undersigned in a signed writing delivered to each of the foregoing attorneys-in-fact. IN WITNESS WHEREOF, the undersigned has caused this Power of Attorney to be executed as of date set forth below. /s/ Sara Dadyar September 28, 2026 Signature Date Sara Dadyar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06945" TargetMode="External"/><Relationship Id="rId3" Type="http://schemas.openxmlformats.org/officeDocument/2006/relationships/hyperlink" Target="http://www.sec.gov/cgi-bin/browse-edgar?action=getcompany&amp;CIK=00011442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984</Words>
  <Characters>5236</Characters>
  <CharactersWithSpaces>6176</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dc:title>
</cp:coreProperties>
</file>